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D71F1" w14:textId="7F0ABB59" w:rsidR="000077DC" w:rsidRPr="00176515" w:rsidRDefault="000077DC" w:rsidP="000077DC">
      <w:pPr>
        <w:tabs>
          <w:tab w:val="left" w:pos="6210"/>
        </w:tabs>
        <w:autoSpaceDE w:val="0"/>
        <w:autoSpaceDN w:val="0"/>
        <w:adjustRightInd w:val="0"/>
        <w:rPr>
          <w:rFonts w:ascii="Arial" w:hAnsi="Arial" w:cs="Arial"/>
          <w:b/>
          <w:bCs/>
          <w:sz w:val="36"/>
          <w:szCs w:val="36"/>
        </w:rPr>
      </w:pPr>
      <w:r w:rsidRPr="00176515">
        <w:rPr>
          <w:rFonts w:ascii="Arial" w:hAnsi="Arial" w:cs="Arial"/>
          <w:b/>
          <w:bCs/>
          <w:sz w:val="36"/>
          <w:szCs w:val="36"/>
        </w:rPr>
        <w:t>A</w:t>
      </w:r>
      <w:r w:rsidR="005E48EF" w:rsidRPr="00176515">
        <w:rPr>
          <w:rFonts w:ascii="Arial" w:hAnsi="Arial" w:cs="Arial"/>
          <w:b/>
          <w:bCs/>
          <w:sz w:val="36"/>
          <w:szCs w:val="36"/>
        </w:rPr>
        <w:t>PPENDIX</w:t>
      </w:r>
      <w:r w:rsidRPr="00176515">
        <w:rPr>
          <w:rFonts w:ascii="Arial" w:hAnsi="Arial" w:cs="Arial"/>
          <w:b/>
          <w:bCs/>
          <w:sz w:val="36"/>
          <w:szCs w:val="36"/>
        </w:rPr>
        <w:t xml:space="preserve"> A</w:t>
      </w:r>
      <w:r w:rsidR="003F6548" w:rsidRPr="00176515">
        <w:rPr>
          <w:rFonts w:ascii="Arial" w:hAnsi="Arial" w:cs="Arial"/>
          <w:b/>
          <w:bCs/>
          <w:sz w:val="36"/>
          <w:szCs w:val="36"/>
        </w:rPr>
        <w:t>3</w:t>
      </w:r>
      <w:r w:rsidRPr="00176515">
        <w:rPr>
          <w:rFonts w:ascii="Arial" w:hAnsi="Arial" w:cs="Arial"/>
          <w:b/>
          <w:bCs/>
          <w:sz w:val="36"/>
          <w:szCs w:val="36"/>
        </w:rPr>
        <w:t xml:space="preserve">: </w:t>
      </w:r>
      <w:r w:rsidR="00747127" w:rsidRPr="00176515">
        <w:rPr>
          <w:rFonts w:ascii="Arial" w:hAnsi="Arial" w:cs="Arial"/>
          <w:b/>
          <w:bCs/>
          <w:sz w:val="36"/>
          <w:szCs w:val="36"/>
        </w:rPr>
        <w:t>Form 5500 Filing Patterns and the</w:t>
      </w:r>
      <w:r w:rsidR="003F6548" w:rsidRPr="00176515">
        <w:rPr>
          <w:rFonts w:ascii="Arial" w:hAnsi="Arial" w:cs="Arial"/>
          <w:b/>
          <w:bCs/>
          <w:sz w:val="36"/>
          <w:szCs w:val="36"/>
        </w:rPr>
        <w:t xml:space="preserve"> COVID-19 P</w:t>
      </w:r>
      <w:r w:rsidR="00747127" w:rsidRPr="00176515">
        <w:rPr>
          <w:rFonts w:ascii="Arial" w:hAnsi="Arial" w:cs="Arial"/>
          <w:b/>
          <w:bCs/>
          <w:sz w:val="36"/>
          <w:szCs w:val="36"/>
        </w:rPr>
        <w:t>ublic Health Emergency</w:t>
      </w:r>
    </w:p>
    <w:p w14:paraId="4308E37F" w14:textId="77777777" w:rsidR="000077DC" w:rsidRPr="00176515" w:rsidRDefault="000077DC" w:rsidP="000077DC">
      <w:pPr>
        <w:autoSpaceDE w:val="0"/>
        <w:autoSpaceDN w:val="0"/>
        <w:adjustRightInd w:val="0"/>
        <w:rPr>
          <w:rFonts w:ascii="Arial" w:hAnsi="Arial" w:cs="Arial"/>
          <w:sz w:val="22"/>
          <w:szCs w:val="22"/>
        </w:rPr>
      </w:pPr>
    </w:p>
    <w:p w14:paraId="65F518B0" w14:textId="1CB38E69" w:rsidR="00C862E3" w:rsidRPr="004F68FD" w:rsidRDefault="00702512" w:rsidP="00921F80">
      <w:pPr>
        <w:jc w:val="both"/>
        <w:rPr>
          <w:rFonts w:ascii="Arial" w:hAnsi="Arial" w:cs="Arial"/>
          <w:sz w:val="21"/>
          <w:szCs w:val="21"/>
        </w:rPr>
      </w:pPr>
      <w:r w:rsidRPr="004F68FD">
        <w:rPr>
          <w:rFonts w:ascii="Arial" w:hAnsi="Arial" w:cs="Arial"/>
          <w:sz w:val="21"/>
          <w:szCs w:val="21"/>
        </w:rPr>
        <w:t>Group health plans that are required to file the Form 5500 must file by the last day of the 7</w:t>
      </w:r>
      <w:r w:rsidRPr="004F68FD">
        <w:rPr>
          <w:rFonts w:ascii="Arial" w:hAnsi="Arial" w:cs="Arial"/>
          <w:sz w:val="21"/>
          <w:szCs w:val="21"/>
          <w:vertAlign w:val="superscript"/>
        </w:rPr>
        <w:t>th</w:t>
      </w:r>
      <w:r w:rsidRPr="004F68FD">
        <w:rPr>
          <w:rFonts w:ascii="Arial" w:hAnsi="Arial" w:cs="Arial"/>
          <w:sz w:val="21"/>
          <w:szCs w:val="21"/>
        </w:rPr>
        <w:t xml:space="preserve"> calendar month after the end of the plan year.</w:t>
      </w:r>
      <w:r w:rsidR="00EC38EB" w:rsidRPr="004F68FD">
        <w:rPr>
          <w:rStyle w:val="FootnoteReference"/>
          <w:rFonts w:ascii="Arial" w:hAnsi="Arial" w:cs="Arial"/>
          <w:sz w:val="21"/>
          <w:szCs w:val="21"/>
        </w:rPr>
        <w:footnoteReference w:id="2"/>
      </w:r>
      <w:r w:rsidR="00EC38EB" w:rsidRPr="004F68FD">
        <w:rPr>
          <w:rFonts w:ascii="Arial" w:hAnsi="Arial" w:cs="Arial"/>
          <w:sz w:val="21"/>
          <w:szCs w:val="21"/>
        </w:rPr>
        <w:t xml:space="preserve"> </w:t>
      </w:r>
      <w:r w:rsidRPr="004F68FD">
        <w:rPr>
          <w:rFonts w:ascii="Arial" w:hAnsi="Arial" w:cs="Arial"/>
          <w:sz w:val="21"/>
          <w:szCs w:val="21"/>
        </w:rPr>
        <w:t xml:space="preserve"> Plans may be granted an extension</w:t>
      </w:r>
      <w:r w:rsidR="00EC38EB" w:rsidRPr="004F68FD">
        <w:rPr>
          <w:rFonts w:ascii="Arial" w:hAnsi="Arial" w:cs="Arial"/>
          <w:sz w:val="21"/>
          <w:szCs w:val="21"/>
        </w:rPr>
        <w:t xml:space="preserve">, but the due date may not be extended beyond a total of 9½ months </w:t>
      </w:r>
      <w:r w:rsidR="00125162" w:rsidRPr="004F68FD">
        <w:rPr>
          <w:rFonts w:ascii="Arial" w:hAnsi="Arial" w:cs="Arial"/>
          <w:sz w:val="21"/>
          <w:szCs w:val="21"/>
        </w:rPr>
        <w:t xml:space="preserve">past </w:t>
      </w:r>
      <w:r w:rsidR="00EC38EB" w:rsidRPr="004F68FD">
        <w:rPr>
          <w:rFonts w:ascii="Arial" w:hAnsi="Arial" w:cs="Arial"/>
          <w:sz w:val="21"/>
          <w:szCs w:val="21"/>
        </w:rPr>
        <w:t xml:space="preserve">the </w:t>
      </w:r>
      <w:r w:rsidR="00125162" w:rsidRPr="004F68FD">
        <w:rPr>
          <w:rFonts w:ascii="Arial" w:hAnsi="Arial" w:cs="Arial"/>
          <w:sz w:val="21"/>
          <w:szCs w:val="21"/>
        </w:rPr>
        <w:t xml:space="preserve">end </w:t>
      </w:r>
      <w:r w:rsidR="00EC38EB" w:rsidRPr="004F68FD">
        <w:rPr>
          <w:rFonts w:ascii="Arial" w:hAnsi="Arial" w:cs="Arial"/>
          <w:sz w:val="21"/>
          <w:szCs w:val="21"/>
        </w:rPr>
        <w:t>of the plan year.</w:t>
      </w:r>
      <w:r w:rsidR="00EC38EB" w:rsidRPr="004F68FD">
        <w:rPr>
          <w:rStyle w:val="FootnoteReference"/>
          <w:rFonts w:ascii="Arial" w:hAnsi="Arial" w:cs="Arial"/>
          <w:sz w:val="21"/>
          <w:szCs w:val="21"/>
        </w:rPr>
        <w:footnoteReference w:id="3"/>
      </w:r>
      <w:r w:rsidR="00EC38EB" w:rsidRPr="004F68FD">
        <w:rPr>
          <w:rFonts w:ascii="Arial" w:hAnsi="Arial" w:cs="Arial"/>
          <w:sz w:val="21"/>
          <w:szCs w:val="21"/>
        </w:rPr>
        <w:t xml:space="preserve"> </w:t>
      </w:r>
      <w:r w:rsidR="00C862E3" w:rsidRPr="004F68FD">
        <w:rPr>
          <w:rFonts w:ascii="Arial" w:hAnsi="Arial" w:cs="Arial"/>
          <w:sz w:val="21"/>
          <w:szCs w:val="21"/>
        </w:rPr>
        <w:t xml:space="preserve">Most </w:t>
      </w:r>
      <w:r w:rsidR="0032333C" w:rsidRPr="004F68FD">
        <w:rPr>
          <w:rFonts w:ascii="Arial" w:hAnsi="Arial" w:cs="Arial"/>
          <w:sz w:val="21"/>
          <w:szCs w:val="21"/>
        </w:rPr>
        <w:t>filing plans</w:t>
      </w:r>
      <w:r w:rsidR="00C862E3" w:rsidRPr="004F68FD">
        <w:rPr>
          <w:rFonts w:ascii="Arial" w:hAnsi="Arial" w:cs="Arial"/>
          <w:sz w:val="21"/>
          <w:szCs w:val="21"/>
        </w:rPr>
        <w:t xml:space="preserve"> operate on a calendar year basis with plan ending date </w:t>
      </w:r>
      <w:r w:rsidR="00125162" w:rsidRPr="004F68FD">
        <w:rPr>
          <w:rFonts w:ascii="Arial" w:hAnsi="Arial" w:cs="Arial"/>
          <w:sz w:val="21"/>
          <w:szCs w:val="21"/>
        </w:rPr>
        <w:t xml:space="preserve">on </w:t>
      </w:r>
      <w:r w:rsidR="00C862E3" w:rsidRPr="004F68FD">
        <w:rPr>
          <w:rFonts w:ascii="Arial" w:hAnsi="Arial" w:cs="Arial"/>
          <w:sz w:val="21"/>
          <w:szCs w:val="21"/>
        </w:rPr>
        <w:t>December</w:t>
      </w:r>
      <w:r w:rsidR="00125162" w:rsidRPr="004F68FD">
        <w:rPr>
          <w:rFonts w:ascii="Arial" w:hAnsi="Arial" w:cs="Arial"/>
          <w:sz w:val="21"/>
          <w:szCs w:val="21"/>
        </w:rPr>
        <w:t xml:space="preserve"> 31</w:t>
      </w:r>
      <w:r w:rsidR="00C862E3" w:rsidRPr="004F68FD">
        <w:rPr>
          <w:rFonts w:ascii="Arial" w:hAnsi="Arial" w:cs="Arial"/>
          <w:sz w:val="21"/>
          <w:szCs w:val="21"/>
        </w:rPr>
        <w:t xml:space="preserve">, </w:t>
      </w:r>
      <w:r w:rsidR="002B1A03" w:rsidRPr="004F68FD">
        <w:rPr>
          <w:rFonts w:ascii="Arial" w:hAnsi="Arial" w:cs="Arial"/>
          <w:sz w:val="21"/>
          <w:szCs w:val="21"/>
        </w:rPr>
        <w:t>which leads to the majority of filing</w:t>
      </w:r>
      <w:r w:rsidR="00C7365F" w:rsidRPr="004F68FD">
        <w:rPr>
          <w:rFonts w:ascii="Arial" w:hAnsi="Arial" w:cs="Arial"/>
          <w:sz w:val="21"/>
          <w:szCs w:val="21"/>
        </w:rPr>
        <w:t>s occurring between June and October of the following year. The figures below illustrate this pattern for 2018.</w:t>
      </w:r>
      <w:r w:rsidR="00C862E3" w:rsidRPr="004F68FD">
        <w:rPr>
          <w:rFonts w:ascii="Arial" w:hAnsi="Arial" w:cs="Arial"/>
          <w:sz w:val="21"/>
          <w:szCs w:val="21"/>
        </w:rPr>
        <w:t xml:space="preserve"> </w:t>
      </w:r>
    </w:p>
    <w:p w14:paraId="7F45B23F" w14:textId="77777777" w:rsidR="0032333C" w:rsidRPr="00176515" w:rsidRDefault="0032333C" w:rsidP="00921F80">
      <w:pPr>
        <w:jc w:val="both"/>
        <w:rPr>
          <w:rFonts w:ascii="Arial" w:hAnsi="Arial" w:cs="Arial"/>
          <w:sz w:val="22"/>
          <w:szCs w:val="22"/>
        </w:rPr>
      </w:pPr>
    </w:p>
    <w:tbl>
      <w:tblPr>
        <w:tblW w:w="12550" w:type="dxa"/>
        <w:jc w:val="center"/>
        <w:tblLayout w:type="fixed"/>
        <w:tblLook w:val="04A0" w:firstRow="1" w:lastRow="0" w:firstColumn="1" w:lastColumn="0" w:noHBand="0" w:noVBand="1"/>
      </w:tblPr>
      <w:tblGrid>
        <w:gridCol w:w="2226"/>
        <w:gridCol w:w="860"/>
        <w:gridCol w:w="860"/>
        <w:gridCol w:w="861"/>
        <w:gridCol w:w="860"/>
        <w:gridCol w:w="860"/>
        <w:gridCol w:w="861"/>
        <w:gridCol w:w="860"/>
        <w:gridCol w:w="860"/>
        <w:gridCol w:w="861"/>
        <w:gridCol w:w="860"/>
        <w:gridCol w:w="860"/>
        <w:gridCol w:w="861"/>
      </w:tblGrid>
      <w:tr w:rsidR="00747127" w:rsidRPr="00176515" w14:paraId="63BF9973" w14:textId="77777777" w:rsidTr="00747127">
        <w:trPr>
          <w:trHeight w:val="268"/>
          <w:jc w:val="center"/>
        </w:trPr>
        <w:tc>
          <w:tcPr>
            <w:tcW w:w="12550" w:type="dxa"/>
            <w:gridSpan w:val="13"/>
            <w:tcBorders>
              <w:top w:val="nil"/>
            </w:tcBorders>
            <w:shd w:val="clear" w:color="auto" w:fill="auto"/>
            <w:vAlign w:val="center"/>
          </w:tcPr>
          <w:p w14:paraId="7A6C978B" w14:textId="39A552C3" w:rsidR="00747127" w:rsidRPr="00176515" w:rsidRDefault="00747127" w:rsidP="00747127">
            <w:pPr>
              <w:jc w:val="center"/>
              <w:rPr>
                <w:rFonts w:ascii="Arial" w:hAnsi="Arial" w:cs="Arial"/>
                <w:b/>
                <w:bCs/>
                <w:color w:val="000000"/>
              </w:rPr>
            </w:pPr>
            <w:r w:rsidRPr="00176515">
              <w:rPr>
                <w:rFonts w:ascii="Arial" w:hAnsi="Arial" w:cs="Arial"/>
                <w:b/>
                <w:bCs/>
                <w:color w:val="000000"/>
              </w:rPr>
              <w:t>Table 1. Proportion of Plan Filings by Plan Year Ending Date,</w:t>
            </w:r>
          </w:p>
          <w:p w14:paraId="6C827496" w14:textId="4757F070" w:rsidR="00747127" w:rsidRPr="00176515" w:rsidRDefault="00747127" w:rsidP="0032333C">
            <w:pPr>
              <w:spacing w:after="120"/>
              <w:jc w:val="center"/>
              <w:rPr>
                <w:rFonts w:ascii="Arial" w:hAnsi="Arial" w:cs="Arial"/>
                <w:sz w:val="22"/>
                <w:szCs w:val="22"/>
              </w:rPr>
            </w:pPr>
            <w:r w:rsidRPr="00176515">
              <w:rPr>
                <w:rFonts w:ascii="Arial" w:hAnsi="Arial" w:cs="Arial"/>
                <w:b/>
                <w:bCs/>
                <w:i/>
                <w:iCs/>
                <w:color w:val="000000"/>
              </w:rPr>
              <w:t>Data from the 2018 Group Health Plan</w:t>
            </w:r>
            <w:r w:rsidR="00621CD9">
              <w:rPr>
                <w:rFonts w:ascii="Arial" w:hAnsi="Arial" w:cs="Arial"/>
                <w:b/>
                <w:bCs/>
                <w:i/>
                <w:iCs/>
                <w:color w:val="000000"/>
              </w:rPr>
              <w:t>s</w:t>
            </w:r>
            <w:r w:rsidRPr="00176515">
              <w:rPr>
                <w:rFonts w:ascii="Arial" w:hAnsi="Arial" w:cs="Arial"/>
                <w:b/>
                <w:bCs/>
                <w:i/>
                <w:iCs/>
                <w:color w:val="000000"/>
              </w:rPr>
              <w:t xml:space="preserve"> Research File</w:t>
            </w:r>
          </w:p>
        </w:tc>
      </w:tr>
      <w:tr w:rsidR="004F68FD" w:rsidRPr="00176515" w14:paraId="57607595" w14:textId="77777777" w:rsidTr="001A0873">
        <w:trPr>
          <w:trHeight w:val="268"/>
          <w:jc w:val="center"/>
        </w:trPr>
        <w:tc>
          <w:tcPr>
            <w:tcW w:w="2226" w:type="dxa"/>
            <w:tcBorders>
              <w:left w:val="single" w:sz="8" w:space="0" w:color="000000"/>
              <w:bottom w:val="single" w:sz="4" w:space="0" w:color="auto"/>
              <w:right w:val="single" w:sz="8" w:space="0" w:color="FFFFFF"/>
            </w:tcBorders>
            <w:shd w:val="clear" w:color="000000" w:fill="000000"/>
            <w:vAlign w:val="center"/>
            <w:hideMark/>
          </w:tcPr>
          <w:p w14:paraId="4581BC1D" w14:textId="1942D066"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Plan Year End </w:t>
            </w:r>
          </w:p>
        </w:tc>
        <w:tc>
          <w:tcPr>
            <w:tcW w:w="860" w:type="dxa"/>
            <w:tcBorders>
              <w:left w:val="nil"/>
              <w:bottom w:val="single" w:sz="4" w:space="0" w:color="auto"/>
              <w:right w:val="nil"/>
            </w:tcBorders>
            <w:shd w:val="clear" w:color="000000" w:fill="000000"/>
            <w:vAlign w:val="center"/>
            <w:hideMark/>
          </w:tcPr>
          <w:p w14:paraId="1D1A8B30" w14:textId="51298B5A"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Jan ‘18</w:t>
            </w:r>
          </w:p>
        </w:tc>
        <w:tc>
          <w:tcPr>
            <w:tcW w:w="860" w:type="dxa"/>
            <w:tcBorders>
              <w:left w:val="single" w:sz="8" w:space="0" w:color="FFFFFF"/>
              <w:bottom w:val="single" w:sz="4" w:space="0" w:color="auto"/>
              <w:right w:val="single" w:sz="8" w:space="0" w:color="FFFFFF"/>
            </w:tcBorders>
            <w:shd w:val="clear" w:color="000000" w:fill="000000"/>
            <w:vAlign w:val="center"/>
            <w:hideMark/>
          </w:tcPr>
          <w:p w14:paraId="1E5A846F" w14:textId="0CEBE7D5"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Feb ‘18</w:t>
            </w:r>
          </w:p>
        </w:tc>
        <w:tc>
          <w:tcPr>
            <w:tcW w:w="861" w:type="dxa"/>
            <w:tcBorders>
              <w:left w:val="nil"/>
              <w:bottom w:val="single" w:sz="4" w:space="0" w:color="auto"/>
              <w:right w:val="single" w:sz="4" w:space="0" w:color="FFFFFF" w:themeColor="background1"/>
            </w:tcBorders>
            <w:shd w:val="clear" w:color="000000" w:fill="000000"/>
          </w:tcPr>
          <w:p w14:paraId="21DE14F9" w14:textId="76555B07"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Mar ‘18</w:t>
            </w:r>
          </w:p>
        </w:tc>
        <w:tc>
          <w:tcPr>
            <w:tcW w:w="860" w:type="dxa"/>
            <w:tcBorders>
              <w:left w:val="single" w:sz="4" w:space="0" w:color="FFFFFF" w:themeColor="background1"/>
              <w:bottom w:val="single" w:sz="4" w:space="0" w:color="auto"/>
              <w:right w:val="single" w:sz="4" w:space="0" w:color="FFFFFF" w:themeColor="background1"/>
            </w:tcBorders>
            <w:shd w:val="clear" w:color="000000" w:fill="000000"/>
          </w:tcPr>
          <w:p w14:paraId="6B930E1A" w14:textId="416FFA54"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Apr ‘18</w:t>
            </w:r>
          </w:p>
        </w:tc>
        <w:tc>
          <w:tcPr>
            <w:tcW w:w="860" w:type="dxa"/>
            <w:tcBorders>
              <w:left w:val="single" w:sz="4" w:space="0" w:color="FFFFFF" w:themeColor="background1"/>
              <w:bottom w:val="single" w:sz="4" w:space="0" w:color="auto"/>
              <w:right w:val="nil"/>
            </w:tcBorders>
            <w:shd w:val="clear" w:color="000000" w:fill="000000"/>
            <w:vAlign w:val="center"/>
            <w:hideMark/>
          </w:tcPr>
          <w:p w14:paraId="1197618E" w14:textId="4A891683"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May ‘18</w:t>
            </w:r>
          </w:p>
        </w:tc>
        <w:tc>
          <w:tcPr>
            <w:tcW w:w="861" w:type="dxa"/>
            <w:tcBorders>
              <w:left w:val="single" w:sz="8" w:space="0" w:color="FFFFFF"/>
              <w:bottom w:val="single" w:sz="4" w:space="0" w:color="auto"/>
              <w:right w:val="single" w:sz="8" w:space="0" w:color="FFFFFF"/>
            </w:tcBorders>
            <w:shd w:val="clear" w:color="000000" w:fill="000000"/>
            <w:vAlign w:val="center"/>
            <w:hideMark/>
          </w:tcPr>
          <w:p w14:paraId="77864625" w14:textId="32FF485B"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Jun ‘18</w:t>
            </w:r>
          </w:p>
        </w:tc>
        <w:tc>
          <w:tcPr>
            <w:tcW w:w="860" w:type="dxa"/>
            <w:tcBorders>
              <w:left w:val="nil"/>
              <w:bottom w:val="single" w:sz="4" w:space="0" w:color="auto"/>
              <w:right w:val="nil"/>
            </w:tcBorders>
            <w:shd w:val="clear" w:color="000000" w:fill="000000"/>
            <w:vAlign w:val="center"/>
            <w:hideMark/>
          </w:tcPr>
          <w:p w14:paraId="753DF72B" w14:textId="3C759749"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Jul ‘18</w:t>
            </w:r>
          </w:p>
        </w:tc>
        <w:tc>
          <w:tcPr>
            <w:tcW w:w="860" w:type="dxa"/>
            <w:tcBorders>
              <w:left w:val="single" w:sz="8" w:space="0" w:color="FFFFFF"/>
              <w:bottom w:val="single" w:sz="4" w:space="0" w:color="auto"/>
              <w:right w:val="single" w:sz="8" w:space="0" w:color="FFFFFF"/>
            </w:tcBorders>
            <w:shd w:val="clear" w:color="000000" w:fill="000000"/>
            <w:vAlign w:val="center"/>
            <w:hideMark/>
          </w:tcPr>
          <w:p w14:paraId="65402507" w14:textId="6DD2683C"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Aug ‘18</w:t>
            </w:r>
          </w:p>
        </w:tc>
        <w:tc>
          <w:tcPr>
            <w:tcW w:w="861" w:type="dxa"/>
            <w:tcBorders>
              <w:left w:val="nil"/>
              <w:bottom w:val="single" w:sz="4" w:space="0" w:color="auto"/>
              <w:right w:val="nil"/>
            </w:tcBorders>
            <w:shd w:val="clear" w:color="000000" w:fill="000000"/>
            <w:vAlign w:val="center"/>
            <w:hideMark/>
          </w:tcPr>
          <w:p w14:paraId="68D979D9" w14:textId="45A5BFB5"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Sep ‘18</w:t>
            </w:r>
          </w:p>
        </w:tc>
        <w:tc>
          <w:tcPr>
            <w:tcW w:w="860" w:type="dxa"/>
            <w:tcBorders>
              <w:left w:val="single" w:sz="8" w:space="0" w:color="FFFFFF"/>
              <w:bottom w:val="single" w:sz="4" w:space="0" w:color="auto"/>
              <w:right w:val="single" w:sz="8" w:space="0" w:color="FFFFFF"/>
            </w:tcBorders>
            <w:shd w:val="clear" w:color="000000" w:fill="000000"/>
            <w:vAlign w:val="center"/>
            <w:hideMark/>
          </w:tcPr>
          <w:p w14:paraId="7A2460C8" w14:textId="3292B1AB"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Oct ‘18</w:t>
            </w:r>
          </w:p>
        </w:tc>
        <w:tc>
          <w:tcPr>
            <w:tcW w:w="860" w:type="dxa"/>
            <w:tcBorders>
              <w:left w:val="nil"/>
              <w:bottom w:val="single" w:sz="4" w:space="0" w:color="auto"/>
              <w:right w:val="nil"/>
            </w:tcBorders>
            <w:shd w:val="clear" w:color="000000" w:fill="000000"/>
            <w:vAlign w:val="center"/>
            <w:hideMark/>
          </w:tcPr>
          <w:p w14:paraId="60A1C886" w14:textId="5988AC07"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Nov ‘18</w:t>
            </w:r>
          </w:p>
        </w:tc>
        <w:tc>
          <w:tcPr>
            <w:tcW w:w="861" w:type="dxa"/>
            <w:tcBorders>
              <w:left w:val="single" w:sz="8" w:space="0" w:color="FFFFFF"/>
              <w:bottom w:val="single" w:sz="4" w:space="0" w:color="auto"/>
              <w:right w:val="single" w:sz="4" w:space="0" w:color="auto"/>
            </w:tcBorders>
            <w:shd w:val="clear" w:color="000000" w:fill="000000"/>
            <w:vAlign w:val="center"/>
            <w:hideMark/>
          </w:tcPr>
          <w:p w14:paraId="39969DDD" w14:textId="62BC363D" w:rsidR="00747127" w:rsidRPr="00176515" w:rsidRDefault="00747127" w:rsidP="003E1668">
            <w:pPr>
              <w:jc w:val="center"/>
              <w:rPr>
                <w:rFonts w:ascii="Arial" w:hAnsi="Arial" w:cs="Arial"/>
                <w:b/>
                <w:bCs/>
                <w:color w:val="FFFFFF"/>
                <w:sz w:val="22"/>
                <w:szCs w:val="22"/>
              </w:rPr>
            </w:pPr>
            <w:r w:rsidRPr="00176515">
              <w:rPr>
                <w:rFonts w:ascii="Arial" w:hAnsi="Arial" w:cs="Arial"/>
                <w:b/>
                <w:bCs/>
                <w:color w:val="FFFFFF"/>
                <w:sz w:val="22"/>
                <w:szCs w:val="22"/>
              </w:rPr>
              <w:t>Dec ‘18</w:t>
            </w:r>
          </w:p>
        </w:tc>
      </w:tr>
      <w:tr w:rsidR="0032333C" w:rsidRPr="00176515" w14:paraId="5304D317" w14:textId="77777777" w:rsidTr="004F68FD">
        <w:trPr>
          <w:trHeight w:val="259"/>
          <w:jc w:val="center"/>
        </w:trPr>
        <w:tc>
          <w:tcPr>
            <w:tcW w:w="22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BC812" w14:textId="4626FBE5" w:rsidR="00747127" w:rsidRPr="00176515" w:rsidRDefault="00747127" w:rsidP="00747127">
            <w:pPr>
              <w:jc w:val="center"/>
              <w:rPr>
                <w:rFonts w:ascii="Arial" w:hAnsi="Arial" w:cs="Arial"/>
                <w:b/>
                <w:bCs/>
                <w:color w:val="000000"/>
                <w:sz w:val="22"/>
                <w:szCs w:val="22"/>
              </w:rPr>
            </w:pPr>
            <w:r w:rsidRPr="00176515">
              <w:rPr>
                <w:rFonts w:ascii="Arial" w:hAnsi="Arial" w:cs="Arial"/>
                <w:b/>
                <w:bCs/>
                <w:color w:val="000000"/>
                <w:sz w:val="22"/>
                <w:szCs w:val="22"/>
              </w:rPr>
              <w:t>Percent of Group Health Plans</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72671" w14:textId="3E9AD35F" w:rsidR="00747127" w:rsidRPr="00176515" w:rsidRDefault="00747127" w:rsidP="00747127">
            <w:pPr>
              <w:jc w:val="right"/>
              <w:rPr>
                <w:rFonts w:ascii="Arial" w:hAnsi="Arial" w:cs="Arial"/>
                <w:color w:val="000000"/>
                <w:sz w:val="22"/>
                <w:szCs w:val="22"/>
              </w:rPr>
            </w:pPr>
            <w:r w:rsidRPr="00176515">
              <w:rPr>
                <w:rFonts w:ascii="Arial" w:hAnsi="Arial" w:cs="Arial"/>
                <w:color w:val="000000"/>
                <w:sz w:val="22"/>
                <w:szCs w:val="22"/>
              </w:rPr>
              <w:t>1.6%</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A96F8" w14:textId="778412A3"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2.3%</w:t>
            </w:r>
          </w:p>
        </w:tc>
        <w:tc>
          <w:tcPr>
            <w:tcW w:w="861" w:type="dxa"/>
            <w:tcBorders>
              <w:top w:val="single" w:sz="4" w:space="0" w:color="auto"/>
              <w:left w:val="single" w:sz="4" w:space="0" w:color="auto"/>
              <w:bottom w:val="single" w:sz="4" w:space="0" w:color="auto"/>
              <w:right w:val="single" w:sz="4" w:space="0" w:color="auto"/>
            </w:tcBorders>
            <w:vAlign w:val="center"/>
          </w:tcPr>
          <w:p w14:paraId="64BDE1A7" w14:textId="21C9DEF1" w:rsidR="00747127" w:rsidRPr="00176515" w:rsidRDefault="00747127" w:rsidP="00747127">
            <w:pPr>
              <w:jc w:val="right"/>
              <w:rPr>
                <w:rFonts w:ascii="Arial" w:hAnsi="Arial" w:cs="Arial"/>
                <w:color w:val="000000"/>
                <w:sz w:val="22"/>
                <w:szCs w:val="22"/>
              </w:rPr>
            </w:pPr>
            <w:r w:rsidRPr="00176515">
              <w:rPr>
                <w:rFonts w:ascii="Arial" w:hAnsi="Arial" w:cs="Arial"/>
                <w:color w:val="000000"/>
                <w:sz w:val="22"/>
                <w:szCs w:val="22"/>
              </w:rPr>
              <w:t>3.5%</w:t>
            </w:r>
          </w:p>
        </w:tc>
        <w:tc>
          <w:tcPr>
            <w:tcW w:w="860" w:type="dxa"/>
            <w:tcBorders>
              <w:top w:val="single" w:sz="4" w:space="0" w:color="auto"/>
              <w:left w:val="single" w:sz="4" w:space="0" w:color="auto"/>
              <w:bottom w:val="single" w:sz="4" w:space="0" w:color="auto"/>
              <w:right w:val="single" w:sz="4" w:space="0" w:color="auto"/>
            </w:tcBorders>
            <w:vAlign w:val="center"/>
          </w:tcPr>
          <w:p w14:paraId="6C749CA7" w14:textId="17BEB51A" w:rsidR="00747127" w:rsidRPr="00176515" w:rsidRDefault="00747127" w:rsidP="00747127">
            <w:pPr>
              <w:jc w:val="right"/>
              <w:rPr>
                <w:rFonts w:ascii="Arial" w:hAnsi="Arial" w:cs="Arial"/>
                <w:color w:val="000000"/>
                <w:sz w:val="22"/>
                <w:szCs w:val="22"/>
              </w:rPr>
            </w:pPr>
            <w:r w:rsidRPr="00176515">
              <w:rPr>
                <w:rFonts w:ascii="Arial" w:hAnsi="Arial" w:cs="Arial"/>
                <w:color w:val="000000"/>
                <w:sz w:val="22"/>
                <w:szCs w:val="22"/>
              </w:rPr>
              <w:t>5.0%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E5A5E" w14:textId="60CACD84"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4.0%</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DC3C7" w14:textId="1F266E47"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6.5%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C9E67" w14:textId="1751B61B"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2.5%</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5D1F2" w14:textId="4B895A88"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2.8%</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2CEC" w14:textId="0F154822"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3.7%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C24D0" w14:textId="2CE1A6CA"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2.2%</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D198D" w14:textId="18537060"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2.6%</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A15D4" w14:textId="545EBE9D" w:rsidR="00747127" w:rsidRPr="00176515" w:rsidRDefault="00747127" w:rsidP="00747127">
            <w:pPr>
              <w:jc w:val="right"/>
              <w:rPr>
                <w:rFonts w:ascii="Arial" w:hAnsi="Arial" w:cs="Arial"/>
                <w:sz w:val="22"/>
                <w:szCs w:val="22"/>
              </w:rPr>
            </w:pPr>
            <w:r w:rsidRPr="00176515">
              <w:rPr>
                <w:rFonts w:ascii="Arial" w:hAnsi="Arial" w:cs="Arial"/>
                <w:color w:val="000000"/>
                <w:sz w:val="22"/>
                <w:szCs w:val="22"/>
              </w:rPr>
              <w:t>63.4%</w:t>
            </w:r>
          </w:p>
        </w:tc>
      </w:tr>
    </w:tbl>
    <w:p w14:paraId="697B240D" w14:textId="77777777" w:rsidR="0032333C" w:rsidRPr="00176515" w:rsidRDefault="0032333C" w:rsidP="00C7365F">
      <w:pPr>
        <w:jc w:val="center"/>
        <w:rPr>
          <w:rFonts w:ascii="Arial" w:hAnsi="Arial" w:cs="Arial"/>
          <w:b/>
          <w:bCs/>
          <w:color w:val="000000"/>
        </w:rPr>
      </w:pPr>
    </w:p>
    <w:p w14:paraId="6D068FA2" w14:textId="0CA35239" w:rsidR="00C7365F" w:rsidRPr="00176515" w:rsidRDefault="00C7365F" w:rsidP="0032333C">
      <w:pPr>
        <w:jc w:val="center"/>
        <w:rPr>
          <w:rFonts w:ascii="Arial" w:hAnsi="Arial" w:cs="Arial"/>
          <w:b/>
          <w:bCs/>
          <w:color w:val="000000"/>
        </w:rPr>
      </w:pPr>
      <w:r w:rsidRPr="00176515">
        <w:rPr>
          <w:rFonts w:ascii="Arial" w:hAnsi="Arial" w:cs="Arial"/>
          <w:b/>
          <w:bCs/>
          <w:color w:val="000000"/>
        </w:rPr>
        <w:t>Figure 1. Number of Plans by Filing Month,</w:t>
      </w:r>
    </w:p>
    <w:p w14:paraId="49F1A8D9" w14:textId="100267E2" w:rsidR="00C862E3" w:rsidRPr="00176515" w:rsidRDefault="00C7365F" w:rsidP="0032333C">
      <w:pPr>
        <w:jc w:val="center"/>
        <w:rPr>
          <w:rFonts w:ascii="Arial" w:hAnsi="Arial" w:cs="Arial"/>
          <w:sz w:val="22"/>
          <w:szCs w:val="22"/>
        </w:rPr>
      </w:pPr>
      <w:r w:rsidRPr="00176515">
        <w:rPr>
          <w:rFonts w:ascii="Arial" w:hAnsi="Arial" w:cs="Arial"/>
          <w:b/>
          <w:bCs/>
          <w:i/>
          <w:iCs/>
          <w:color w:val="000000"/>
        </w:rPr>
        <w:t>Data from the 2018 Group Health Plan</w:t>
      </w:r>
      <w:r w:rsidR="00621CD9">
        <w:rPr>
          <w:rFonts w:ascii="Arial" w:hAnsi="Arial" w:cs="Arial"/>
          <w:b/>
          <w:bCs/>
          <w:i/>
          <w:iCs/>
          <w:color w:val="000000"/>
        </w:rPr>
        <w:t>s</w:t>
      </w:r>
      <w:r w:rsidRPr="00176515">
        <w:rPr>
          <w:rFonts w:ascii="Arial" w:hAnsi="Arial" w:cs="Arial"/>
          <w:b/>
          <w:bCs/>
          <w:i/>
          <w:iCs/>
          <w:color w:val="000000"/>
        </w:rPr>
        <w:t xml:space="preserve"> Research Fil</w:t>
      </w:r>
      <w:r w:rsidR="0032333C" w:rsidRPr="00176515">
        <w:rPr>
          <w:rFonts w:ascii="Arial" w:hAnsi="Arial" w:cs="Arial"/>
          <w:b/>
          <w:bCs/>
          <w:i/>
          <w:iCs/>
          <w:color w:val="000000"/>
        </w:rPr>
        <w:t>e</w:t>
      </w:r>
    </w:p>
    <w:p w14:paraId="07465B8E" w14:textId="4054AAAE" w:rsidR="00C862E3" w:rsidRPr="00176515" w:rsidRDefault="007B7FE8" w:rsidP="0032333C">
      <w:pPr>
        <w:jc w:val="center"/>
        <w:rPr>
          <w:rFonts w:ascii="Arial" w:hAnsi="Arial" w:cs="Arial"/>
          <w:sz w:val="22"/>
          <w:szCs w:val="22"/>
        </w:rPr>
      </w:pPr>
      <w:r>
        <w:rPr>
          <w:rFonts w:ascii="Arial" w:hAnsi="Arial" w:cs="Arial"/>
          <w:noProof/>
          <w:sz w:val="22"/>
          <w:szCs w:val="22"/>
        </w:rPr>
        <w:drawing>
          <wp:inline distT="0" distB="0" distL="0" distR="0" wp14:anchorId="0E4F8670" wp14:editId="25942B7A">
            <wp:extent cx="6511290" cy="213995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11290" cy="2139950"/>
                    </a:xfrm>
                    <a:prstGeom prst="rect">
                      <a:avLst/>
                    </a:prstGeom>
                    <a:noFill/>
                  </pic:spPr>
                </pic:pic>
              </a:graphicData>
            </a:graphic>
          </wp:inline>
        </w:drawing>
      </w:r>
    </w:p>
    <w:tbl>
      <w:tblPr>
        <w:tblpPr w:leftFromText="144" w:vertAnchor="text" w:horzAnchor="margin" w:tblpXSpec="right" w:tblpY="1441"/>
        <w:tblW w:w="56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600" w:firstRow="0" w:lastRow="0" w:firstColumn="0" w:lastColumn="0" w:noHBand="1" w:noVBand="1"/>
      </w:tblPr>
      <w:tblGrid>
        <w:gridCol w:w="1260"/>
        <w:gridCol w:w="1075"/>
        <w:gridCol w:w="1079"/>
        <w:gridCol w:w="1152"/>
        <w:gridCol w:w="1080"/>
      </w:tblGrid>
      <w:tr w:rsidR="005E26FA" w:rsidRPr="00176515" w14:paraId="48DD6530" w14:textId="77777777" w:rsidTr="003F0CF9">
        <w:trPr>
          <w:trHeight w:val="607"/>
        </w:trPr>
        <w:tc>
          <w:tcPr>
            <w:tcW w:w="5646" w:type="dxa"/>
            <w:gridSpan w:val="5"/>
            <w:tcBorders>
              <w:top w:val="nil"/>
              <w:left w:val="nil"/>
              <w:right w:val="nil"/>
            </w:tcBorders>
            <w:shd w:val="clear" w:color="auto" w:fill="auto"/>
            <w:tcMar>
              <w:top w:w="5" w:type="dxa"/>
              <w:left w:w="5" w:type="dxa"/>
              <w:bottom w:w="0" w:type="dxa"/>
              <w:right w:w="5" w:type="dxa"/>
            </w:tcMar>
            <w:vAlign w:val="center"/>
          </w:tcPr>
          <w:p w14:paraId="012022A3" w14:textId="77777777" w:rsidR="005E26FA" w:rsidRPr="008110A0" w:rsidRDefault="005E26FA" w:rsidP="005E26FA">
            <w:pPr>
              <w:jc w:val="center"/>
              <w:rPr>
                <w:rFonts w:ascii="Arial" w:hAnsi="Arial" w:cs="Arial"/>
                <w:b/>
                <w:bCs/>
                <w:color w:val="000000"/>
              </w:rPr>
            </w:pPr>
            <w:r w:rsidRPr="00176515">
              <w:rPr>
                <w:rFonts w:ascii="Arial" w:hAnsi="Arial" w:cs="Arial"/>
                <w:b/>
                <w:bCs/>
                <w:color w:val="000000"/>
              </w:rPr>
              <w:lastRenderedPageBreak/>
              <w:t xml:space="preserve">Table </w:t>
            </w:r>
            <w:r>
              <w:rPr>
                <w:rFonts w:ascii="Arial" w:hAnsi="Arial" w:cs="Arial"/>
                <w:b/>
                <w:bCs/>
                <w:color w:val="000000"/>
              </w:rPr>
              <w:t>2</w:t>
            </w:r>
            <w:r w:rsidRPr="00176515">
              <w:rPr>
                <w:rFonts w:ascii="Arial" w:hAnsi="Arial" w:cs="Arial"/>
                <w:b/>
                <w:bCs/>
                <w:color w:val="000000"/>
              </w:rPr>
              <w:t xml:space="preserve">. </w:t>
            </w:r>
            <w:r>
              <w:rPr>
                <w:rFonts w:ascii="Arial" w:hAnsi="Arial" w:cs="Arial"/>
                <w:b/>
                <w:bCs/>
                <w:color w:val="000000"/>
              </w:rPr>
              <w:t>Actual vs. Expected Cumulate Filings Received with Plan Year End in 2019, by Month</w:t>
            </w:r>
          </w:p>
        </w:tc>
      </w:tr>
      <w:tr w:rsidR="005E26FA" w:rsidRPr="00176515" w14:paraId="06F5E3FF" w14:textId="77777777" w:rsidTr="003F0CF9">
        <w:trPr>
          <w:trHeight w:val="962"/>
        </w:trPr>
        <w:tc>
          <w:tcPr>
            <w:tcW w:w="1260" w:type="dxa"/>
            <w:tcBorders>
              <w:right w:val="single" w:sz="4" w:space="0" w:color="FFFFFF" w:themeColor="background1"/>
            </w:tcBorders>
            <w:shd w:val="clear" w:color="auto" w:fill="000000" w:themeFill="text1"/>
            <w:tcMar>
              <w:top w:w="5" w:type="dxa"/>
              <w:left w:w="5" w:type="dxa"/>
              <w:bottom w:w="0" w:type="dxa"/>
              <w:right w:w="5" w:type="dxa"/>
            </w:tcMar>
            <w:vAlign w:val="center"/>
            <w:hideMark/>
          </w:tcPr>
          <w:p w14:paraId="707FAF16" w14:textId="77777777" w:rsidR="005E26FA" w:rsidRPr="004F68FD" w:rsidRDefault="005E26FA" w:rsidP="005E26FA">
            <w:pPr>
              <w:jc w:val="center"/>
              <w:textAlignment w:val="bottom"/>
              <w:rPr>
                <w:rFonts w:ascii="Arial" w:hAnsi="Arial" w:cs="Arial"/>
                <w:color w:val="FFFFFF" w:themeColor="background1"/>
                <w:sz w:val="21"/>
                <w:szCs w:val="21"/>
              </w:rPr>
            </w:pPr>
            <w:r w:rsidRPr="004F68FD">
              <w:rPr>
                <w:rFonts w:ascii="Arial" w:hAnsi="Arial" w:cs="Arial"/>
                <w:b/>
                <w:bCs/>
                <w:color w:val="FFFFFF" w:themeColor="background1"/>
                <w:kern w:val="24"/>
                <w:sz w:val="21"/>
                <w:szCs w:val="21"/>
              </w:rPr>
              <w:t>Cumulative Filings Received</w:t>
            </w:r>
          </w:p>
        </w:tc>
        <w:tc>
          <w:tcPr>
            <w:tcW w:w="1075" w:type="dxa"/>
            <w:tcBorders>
              <w:left w:val="single" w:sz="4" w:space="0" w:color="FFFFFF" w:themeColor="background1"/>
              <w:right w:val="single" w:sz="4" w:space="0" w:color="FFFFFF" w:themeColor="background1"/>
            </w:tcBorders>
            <w:shd w:val="clear" w:color="auto" w:fill="000000" w:themeFill="text1"/>
            <w:tcMar>
              <w:top w:w="5" w:type="dxa"/>
              <w:left w:w="5" w:type="dxa"/>
              <w:bottom w:w="0" w:type="dxa"/>
              <w:right w:w="5" w:type="dxa"/>
            </w:tcMar>
            <w:vAlign w:val="center"/>
            <w:hideMark/>
          </w:tcPr>
          <w:p w14:paraId="6D6CE3B0" w14:textId="77777777" w:rsidR="005E26FA" w:rsidRPr="004F68FD" w:rsidRDefault="005E26FA" w:rsidP="005E26FA">
            <w:pPr>
              <w:jc w:val="center"/>
              <w:textAlignment w:val="bottom"/>
              <w:rPr>
                <w:rFonts w:ascii="Arial" w:hAnsi="Arial" w:cs="Arial"/>
                <w:color w:val="FFFFFF" w:themeColor="background1"/>
                <w:sz w:val="21"/>
                <w:szCs w:val="21"/>
              </w:rPr>
            </w:pPr>
            <w:r w:rsidRPr="004F68FD">
              <w:rPr>
                <w:rFonts w:ascii="Arial" w:hAnsi="Arial" w:cs="Arial"/>
                <w:b/>
                <w:bCs/>
                <w:color w:val="FFFFFF" w:themeColor="background1"/>
                <w:kern w:val="24"/>
                <w:sz w:val="21"/>
                <w:szCs w:val="21"/>
              </w:rPr>
              <w:t>Actual</w:t>
            </w:r>
          </w:p>
        </w:tc>
        <w:tc>
          <w:tcPr>
            <w:tcW w:w="1079" w:type="dxa"/>
            <w:tcBorders>
              <w:left w:val="single" w:sz="4" w:space="0" w:color="FFFFFF" w:themeColor="background1"/>
              <w:right w:val="single" w:sz="4" w:space="0" w:color="FFFFFF" w:themeColor="background1"/>
            </w:tcBorders>
            <w:shd w:val="clear" w:color="auto" w:fill="000000" w:themeFill="text1"/>
            <w:tcMar>
              <w:top w:w="5" w:type="dxa"/>
              <w:left w:w="5" w:type="dxa"/>
              <w:bottom w:w="0" w:type="dxa"/>
              <w:right w:w="5" w:type="dxa"/>
            </w:tcMar>
            <w:vAlign w:val="center"/>
            <w:hideMark/>
          </w:tcPr>
          <w:p w14:paraId="0567CB28" w14:textId="77777777" w:rsidR="005E26FA" w:rsidRPr="004F68FD" w:rsidRDefault="005E26FA" w:rsidP="005E26FA">
            <w:pPr>
              <w:jc w:val="center"/>
              <w:textAlignment w:val="bottom"/>
              <w:rPr>
                <w:rFonts w:ascii="Arial" w:hAnsi="Arial" w:cs="Arial"/>
                <w:color w:val="FFFFFF" w:themeColor="background1"/>
                <w:sz w:val="21"/>
                <w:szCs w:val="21"/>
              </w:rPr>
            </w:pPr>
            <w:r w:rsidRPr="004F68FD">
              <w:rPr>
                <w:rFonts w:ascii="Arial" w:hAnsi="Arial" w:cs="Arial"/>
                <w:b/>
                <w:bCs/>
                <w:color w:val="FFFFFF" w:themeColor="background1"/>
                <w:kern w:val="24"/>
                <w:sz w:val="21"/>
                <w:szCs w:val="21"/>
              </w:rPr>
              <w:t xml:space="preserve">Expected </w:t>
            </w:r>
          </w:p>
          <w:p w14:paraId="79E96684" w14:textId="77777777" w:rsidR="005E26FA" w:rsidRPr="004F68FD" w:rsidRDefault="005E26FA" w:rsidP="005E26FA">
            <w:pPr>
              <w:jc w:val="center"/>
              <w:textAlignment w:val="bottom"/>
              <w:rPr>
                <w:rFonts w:ascii="Arial" w:hAnsi="Arial" w:cs="Arial"/>
                <w:color w:val="FFFFFF" w:themeColor="background1"/>
                <w:sz w:val="21"/>
                <w:szCs w:val="21"/>
              </w:rPr>
            </w:pPr>
            <w:r w:rsidRPr="004F68FD">
              <w:rPr>
                <w:rFonts w:ascii="Arial" w:hAnsi="Arial" w:cs="Arial"/>
                <w:b/>
                <w:bCs/>
                <w:color w:val="FFFFFF" w:themeColor="background1"/>
                <w:kern w:val="24"/>
                <w:sz w:val="21"/>
                <w:szCs w:val="21"/>
              </w:rPr>
              <w:t>(3-year Average)</w:t>
            </w:r>
          </w:p>
        </w:tc>
        <w:tc>
          <w:tcPr>
            <w:tcW w:w="1152" w:type="dxa"/>
            <w:tcBorders>
              <w:left w:val="single" w:sz="4" w:space="0" w:color="FFFFFF" w:themeColor="background1"/>
              <w:right w:val="single" w:sz="4" w:space="0" w:color="FFFFFF" w:themeColor="background1"/>
            </w:tcBorders>
            <w:shd w:val="clear" w:color="auto" w:fill="000000" w:themeFill="text1"/>
            <w:tcMar>
              <w:top w:w="5" w:type="dxa"/>
              <w:left w:w="5" w:type="dxa"/>
              <w:bottom w:w="0" w:type="dxa"/>
              <w:right w:w="5" w:type="dxa"/>
            </w:tcMar>
            <w:vAlign w:val="center"/>
            <w:hideMark/>
          </w:tcPr>
          <w:p w14:paraId="0A0EBD82" w14:textId="77777777" w:rsidR="005E26FA" w:rsidRPr="004F68FD" w:rsidRDefault="005E26FA" w:rsidP="005E26FA">
            <w:pPr>
              <w:jc w:val="center"/>
              <w:textAlignment w:val="bottom"/>
              <w:rPr>
                <w:rFonts w:ascii="Arial" w:hAnsi="Arial" w:cs="Arial"/>
                <w:color w:val="FFFFFF" w:themeColor="background1"/>
                <w:sz w:val="21"/>
                <w:szCs w:val="21"/>
              </w:rPr>
            </w:pPr>
            <w:r w:rsidRPr="004F68FD">
              <w:rPr>
                <w:rFonts w:ascii="Arial" w:hAnsi="Arial" w:cs="Arial"/>
                <w:b/>
                <w:bCs/>
                <w:color w:val="FFFFFF" w:themeColor="background1"/>
                <w:kern w:val="24"/>
                <w:sz w:val="21"/>
                <w:szCs w:val="21"/>
              </w:rPr>
              <w:t>Difference</w:t>
            </w:r>
          </w:p>
        </w:tc>
        <w:tc>
          <w:tcPr>
            <w:tcW w:w="1080" w:type="dxa"/>
            <w:tcBorders>
              <w:left w:val="single" w:sz="4" w:space="0" w:color="FFFFFF" w:themeColor="background1"/>
              <w:right w:val="single" w:sz="4" w:space="0" w:color="auto"/>
            </w:tcBorders>
            <w:shd w:val="clear" w:color="auto" w:fill="000000" w:themeFill="text1"/>
            <w:tcMar>
              <w:top w:w="5" w:type="dxa"/>
              <w:left w:w="5" w:type="dxa"/>
              <w:bottom w:w="0" w:type="dxa"/>
              <w:right w:w="5" w:type="dxa"/>
            </w:tcMar>
            <w:vAlign w:val="center"/>
            <w:hideMark/>
          </w:tcPr>
          <w:p w14:paraId="7288D8E6" w14:textId="77777777" w:rsidR="005E26FA" w:rsidRPr="004F68FD" w:rsidRDefault="005E26FA" w:rsidP="005E26FA">
            <w:pPr>
              <w:jc w:val="center"/>
              <w:textAlignment w:val="bottom"/>
              <w:rPr>
                <w:rFonts w:ascii="Arial" w:hAnsi="Arial" w:cs="Arial"/>
                <w:color w:val="FFFFFF" w:themeColor="background1"/>
                <w:sz w:val="21"/>
                <w:szCs w:val="21"/>
              </w:rPr>
            </w:pPr>
            <w:r w:rsidRPr="004F68FD">
              <w:rPr>
                <w:rFonts w:ascii="Arial" w:hAnsi="Arial" w:cs="Arial"/>
                <w:b/>
                <w:bCs/>
                <w:color w:val="FFFFFF" w:themeColor="background1"/>
                <w:kern w:val="24"/>
                <w:sz w:val="21"/>
                <w:szCs w:val="21"/>
              </w:rPr>
              <w:t>% Diff.</w:t>
            </w:r>
          </w:p>
        </w:tc>
      </w:tr>
      <w:tr w:rsidR="005E26FA" w:rsidRPr="00176515" w14:paraId="6981BFC0" w14:textId="77777777" w:rsidTr="004F68FD">
        <w:trPr>
          <w:trHeight w:val="245"/>
        </w:trPr>
        <w:tc>
          <w:tcPr>
            <w:tcW w:w="1260" w:type="dxa"/>
            <w:shd w:val="clear" w:color="auto" w:fill="D9D9D9" w:themeFill="background1" w:themeFillShade="D9"/>
            <w:tcMar>
              <w:top w:w="5" w:type="dxa"/>
              <w:left w:w="5" w:type="dxa"/>
              <w:bottom w:w="0" w:type="dxa"/>
              <w:right w:w="5" w:type="dxa"/>
            </w:tcMar>
            <w:vAlign w:val="center"/>
          </w:tcPr>
          <w:p w14:paraId="22386B9B"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Feb ‘19</w:t>
            </w:r>
          </w:p>
        </w:tc>
        <w:tc>
          <w:tcPr>
            <w:tcW w:w="1075" w:type="dxa"/>
            <w:shd w:val="clear" w:color="auto" w:fill="D9D9D9" w:themeFill="background1" w:themeFillShade="D9"/>
            <w:tcMar>
              <w:top w:w="5" w:type="dxa"/>
              <w:left w:w="5" w:type="dxa"/>
              <w:bottom w:w="0" w:type="dxa"/>
              <w:right w:w="5" w:type="dxa"/>
            </w:tcMar>
            <w:vAlign w:val="center"/>
          </w:tcPr>
          <w:p w14:paraId="6984D519" w14:textId="77777777" w:rsidR="005E26FA" w:rsidRPr="004F68FD" w:rsidRDefault="005E26FA" w:rsidP="005E26FA">
            <w:pPr>
              <w:jc w:val="center"/>
              <w:textAlignment w:val="bottom"/>
              <w:rPr>
                <w:rFonts w:ascii="Arial" w:hAnsi="Arial" w:cs="Arial"/>
                <w:i/>
                <w:iCs/>
                <w:color w:val="000000"/>
                <w:sz w:val="21"/>
                <w:szCs w:val="21"/>
              </w:rPr>
            </w:pPr>
            <w:r w:rsidRPr="004F68FD">
              <w:rPr>
                <w:rFonts w:ascii="Arial" w:hAnsi="Arial" w:cs="Arial"/>
                <w:i/>
                <w:iCs/>
                <w:color w:val="000000"/>
                <w:sz w:val="21"/>
                <w:szCs w:val="21"/>
              </w:rPr>
              <w:t xml:space="preserve">         1</w:t>
            </w:r>
          </w:p>
        </w:tc>
        <w:tc>
          <w:tcPr>
            <w:tcW w:w="1079" w:type="dxa"/>
            <w:shd w:val="clear" w:color="auto" w:fill="D9D9D9" w:themeFill="background1" w:themeFillShade="D9"/>
            <w:tcMar>
              <w:top w:w="5" w:type="dxa"/>
              <w:left w:w="5" w:type="dxa"/>
              <w:bottom w:w="0" w:type="dxa"/>
              <w:right w:w="5" w:type="dxa"/>
            </w:tcMar>
            <w:vAlign w:val="center"/>
          </w:tcPr>
          <w:p w14:paraId="27F01E57" w14:textId="77777777" w:rsidR="005E26FA" w:rsidRPr="004F68FD" w:rsidRDefault="005E26FA" w:rsidP="005E26FA">
            <w:pPr>
              <w:jc w:val="center"/>
              <w:textAlignment w:val="bottom"/>
              <w:rPr>
                <w:rFonts w:ascii="Arial" w:hAnsi="Arial" w:cs="Arial"/>
                <w:i/>
                <w:iCs/>
                <w:sz w:val="21"/>
                <w:szCs w:val="21"/>
              </w:rPr>
            </w:pPr>
            <w:r w:rsidRPr="004F68FD">
              <w:rPr>
                <w:rFonts w:ascii="Arial" w:hAnsi="Arial" w:cs="Arial"/>
                <w:i/>
                <w:iCs/>
                <w:sz w:val="21"/>
                <w:szCs w:val="21"/>
              </w:rPr>
              <w:t xml:space="preserve">        1</w:t>
            </w:r>
          </w:p>
        </w:tc>
        <w:tc>
          <w:tcPr>
            <w:tcW w:w="1152" w:type="dxa"/>
            <w:shd w:val="clear" w:color="auto" w:fill="D9D9D9" w:themeFill="background1" w:themeFillShade="D9"/>
            <w:tcMar>
              <w:top w:w="5" w:type="dxa"/>
              <w:left w:w="5" w:type="dxa"/>
              <w:bottom w:w="0" w:type="dxa"/>
              <w:right w:w="5" w:type="dxa"/>
            </w:tcMar>
            <w:vAlign w:val="center"/>
          </w:tcPr>
          <w:p w14:paraId="41C8A58E" w14:textId="77777777" w:rsidR="005E26FA" w:rsidRPr="004F68FD" w:rsidRDefault="005E26FA" w:rsidP="005E26FA">
            <w:pP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c>
          <w:tcPr>
            <w:tcW w:w="1080" w:type="dxa"/>
            <w:shd w:val="clear" w:color="auto" w:fill="D9D9D9" w:themeFill="background1" w:themeFillShade="D9"/>
            <w:tcMar>
              <w:top w:w="5" w:type="dxa"/>
              <w:left w:w="5" w:type="dxa"/>
              <w:bottom w:w="0" w:type="dxa"/>
              <w:right w:w="5" w:type="dxa"/>
            </w:tcMar>
            <w:vAlign w:val="center"/>
          </w:tcPr>
          <w:p w14:paraId="49840A08"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r>
      <w:tr w:rsidR="005E26FA" w:rsidRPr="00176515" w14:paraId="7819AC08" w14:textId="77777777" w:rsidTr="004F68FD">
        <w:trPr>
          <w:trHeight w:val="245"/>
        </w:trPr>
        <w:tc>
          <w:tcPr>
            <w:tcW w:w="1260" w:type="dxa"/>
            <w:shd w:val="clear" w:color="auto" w:fill="D9D9D9" w:themeFill="background1" w:themeFillShade="D9"/>
            <w:tcMar>
              <w:top w:w="5" w:type="dxa"/>
              <w:left w:w="5" w:type="dxa"/>
              <w:bottom w:w="0" w:type="dxa"/>
              <w:right w:w="5" w:type="dxa"/>
            </w:tcMar>
            <w:vAlign w:val="center"/>
          </w:tcPr>
          <w:p w14:paraId="31A629B4"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Mar ‘19</w:t>
            </w:r>
          </w:p>
        </w:tc>
        <w:tc>
          <w:tcPr>
            <w:tcW w:w="1075" w:type="dxa"/>
            <w:shd w:val="clear" w:color="auto" w:fill="D9D9D9" w:themeFill="background1" w:themeFillShade="D9"/>
            <w:tcMar>
              <w:top w:w="5" w:type="dxa"/>
              <w:left w:w="5" w:type="dxa"/>
              <w:bottom w:w="0" w:type="dxa"/>
              <w:right w:w="5" w:type="dxa"/>
            </w:tcMar>
            <w:vAlign w:val="center"/>
          </w:tcPr>
          <w:p w14:paraId="4E9AA905" w14:textId="77777777" w:rsidR="005E26FA" w:rsidRPr="004F68FD" w:rsidRDefault="005E26FA" w:rsidP="005E26FA">
            <w:pPr>
              <w:tabs>
                <w:tab w:val="left" w:pos="916"/>
              </w:tabs>
              <w:jc w:val="center"/>
              <w:textAlignment w:val="bottom"/>
              <w:rPr>
                <w:rFonts w:ascii="Arial" w:hAnsi="Arial" w:cs="Arial"/>
                <w:i/>
                <w:iCs/>
                <w:color w:val="000000"/>
                <w:sz w:val="21"/>
                <w:szCs w:val="21"/>
              </w:rPr>
            </w:pPr>
            <w:r w:rsidRPr="004F68FD">
              <w:rPr>
                <w:rFonts w:ascii="Arial" w:hAnsi="Arial" w:cs="Arial"/>
                <w:i/>
                <w:iCs/>
                <w:color w:val="000000"/>
                <w:sz w:val="21"/>
                <w:szCs w:val="21"/>
              </w:rPr>
              <w:t xml:space="preserve">         5</w:t>
            </w:r>
          </w:p>
        </w:tc>
        <w:tc>
          <w:tcPr>
            <w:tcW w:w="1079" w:type="dxa"/>
            <w:shd w:val="clear" w:color="auto" w:fill="D9D9D9" w:themeFill="background1" w:themeFillShade="D9"/>
            <w:tcMar>
              <w:top w:w="5" w:type="dxa"/>
              <w:left w:w="5" w:type="dxa"/>
              <w:bottom w:w="0" w:type="dxa"/>
              <w:right w:w="5" w:type="dxa"/>
            </w:tcMar>
            <w:vAlign w:val="center"/>
          </w:tcPr>
          <w:p w14:paraId="1E52FB5C" w14:textId="77777777" w:rsidR="005E26FA" w:rsidRPr="004F68FD" w:rsidRDefault="005E26FA" w:rsidP="005E26FA">
            <w:pPr>
              <w:jc w:val="center"/>
              <w:textAlignment w:val="bottom"/>
              <w:rPr>
                <w:rFonts w:ascii="Arial" w:hAnsi="Arial" w:cs="Arial"/>
                <w:i/>
                <w:iCs/>
                <w:sz w:val="21"/>
                <w:szCs w:val="21"/>
              </w:rPr>
            </w:pPr>
            <w:r w:rsidRPr="004F68FD">
              <w:rPr>
                <w:rFonts w:ascii="Arial" w:hAnsi="Arial" w:cs="Arial"/>
                <w:i/>
                <w:iCs/>
                <w:sz w:val="21"/>
                <w:szCs w:val="21"/>
              </w:rPr>
              <w:t xml:space="preserve">        5</w:t>
            </w:r>
          </w:p>
        </w:tc>
        <w:tc>
          <w:tcPr>
            <w:tcW w:w="1152" w:type="dxa"/>
            <w:shd w:val="clear" w:color="auto" w:fill="D9D9D9" w:themeFill="background1" w:themeFillShade="D9"/>
            <w:tcMar>
              <w:top w:w="5" w:type="dxa"/>
              <w:left w:w="5" w:type="dxa"/>
              <w:bottom w:w="0" w:type="dxa"/>
              <w:right w:w="5" w:type="dxa"/>
            </w:tcMar>
            <w:vAlign w:val="center"/>
          </w:tcPr>
          <w:p w14:paraId="7081CA64" w14:textId="77777777" w:rsidR="005E26FA" w:rsidRPr="004F68FD" w:rsidRDefault="005E26FA" w:rsidP="005E26FA">
            <w:pP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c>
          <w:tcPr>
            <w:tcW w:w="1080" w:type="dxa"/>
            <w:shd w:val="clear" w:color="auto" w:fill="D9D9D9" w:themeFill="background1" w:themeFillShade="D9"/>
            <w:tcMar>
              <w:top w:w="5" w:type="dxa"/>
              <w:left w:w="5" w:type="dxa"/>
              <w:bottom w:w="0" w:type="dxa"/>
              <w:right w:w="5" w:type="dxa"/>
            </w:tcMar>
            <w:vAlign w:val="center"/>
          </w:tcPr>
          <w:p w14:paraId="3E3E5397"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r>
      <w:tr w:rsidR="005E26FA" w:rsidRPr="00176515" w14:paraId="6C5E07F1" w14:textId="77777777" w:rsidTr="004F68FD">
        <w:trPr>
          <w:trHeight w:val="245"/>
        </w:trPr>
        <w:tc>
          <w:tcPr>
            <w:tcW w:w="1260" w:type="dxa"/>
            <w:shd w:val="clear" w:color="auto" w:fill="D9D9D9" w:themeFill="background1" w:themeFillShade="D9"/>
            <w:tcMar>
              <w:top w:w="5" w:type="dxa"/>
              <w:left w:w="5" w:type="dxa"/>
              <w:bottom w:w="0" w:type="dxa"/>
              <w:right w:w="5" w:type="dxa"/>
            </w:tcMar>
          </w:tcPr>
          <w:p w14:paraId="0BE9A97E" w14:textId="77777777" w:rsidR="005E26FA" w:rsidRPr="004F68FD" w:rsidRDefault="005E26FA" w:rsidP="005E26FA">
            <w:pPr>
              <w:jc w:val="center"/>
              <w:textAlignment w:val="bottom"/>
              <w:rPr>
                <w:rFonts w:ascii="Arial" w:hAnsi="Arial" w:cs="Arial"/>
                <w:b/>
                <w:bCs/>
                <w:i/>
                <w:iCs/>
                <w:kern w:val="24"/>
                <w:sz w:val="21"/>
                <w:szCs w:val="21"/>
              </w:rPr>
            </w:pPr>
            <w:r w:rsidRPr="004F68FD">
              <w:rPr>
                <w:rFonts w:ascii="Arial" w:hAnsi="Arial" w:cs="Arial"/>
                <w:b/>
                <w:bCs/>
                <w:i/>
                <w:iCs/>
                <w:kern w:val="24"/>
                <w:sz w:val="21"/>
                <w:szCs w:val="21"/>
              </w:rPr>
              <w:t>…</w:t>
            </w:r>
          </w:p>
        </w:tc>
        <w:tc>
          <w:tcPr>
            <w:tcW w:w="1075" w:type="dxa"/>
            <w:shd w:val="clear" w:color="auto" w:fill="D9D9D9" w:themeFill="background1" w:themeFillShade="D9"/>
            <w:tcMar>
              <w:top w:w="5" w:type="dxa"/>
              <w:left w:w="5" w:type="dxa"/>
              <w:bottom w:w="0" w:type="dxa"/>
              <w:right w:w="5" w:type="dxa"/>
            </w:tcMar>
          </w:tcPr>
          <w:p w14:paraId="1E18008C" w14:textId="77777777" w:rsidR="005E26FA" w:rsidRPr="004F68FD" w:rsidRDefault="005E26FA" w:rsidP="005E26FA">
            <w:pPr>
              <w:jc w:val="center"/>
              <w:textAlignment w:val="bottom"/>
              <w:rPr>
                <w:rFonts w:ascii="Arial" w:hAnsi="Arial" w:cs="Arial"/>
                <w:b/>
                <w:bCs/>
                <w:i/>
                <w:iCs/>
                <w:color w:val="000000"/>
                <w:sz w:val="21"/>
                <w:szCs w:val="21"/>
              </w:rPr>
            </w:pPr>
            <w:r w:rsidRPr="004F68FD">
              <w:rPr>
                <w:rFonts w:ascii="Arial" w:hAnsi="Arial" w:cs="Arial"/>
                <w:b/>
                <w:bCs/>
                <w:i/>
                <w:iCs/>
                <w:color w:val="000000"/>
                <w:sz w:val="21"/>
                <w:szCs w:val="21"/>
              </w:rPr>
              <w:t>…</w:t>
            </w:r>
          </w:p>
        </w:tc>
        <w:tc>
          <w:tcPr>
            <w:tcW w:w="1079" w:type="dxa"/>
            <w:shd w:val="clear" w:color="auto" w:fill="D9D9D9" w:themeFill="background1" w:themeFillShade="D9"/>
            <w:tcMar>
              <w:top w:w="5" w:type="dxa"/>
              <w:left w:w="5" w:type="dxa"/>
              <w:bottom w:w="0" w:type="dxa"/>
              <w:right w:w="5" w:type="dxa"/>
            </w:tcMar>
          </w:tcPr>
          <w:p w14:paraId="19D9B010" w14:textId="77777777" w:rsidR="005E26FA" w:rsidRPr="004F68FD" w:rsidRDefault="005E26FA" w:rsidP="005E26FA">
            <w:pPr>
              <w:jc w:val="center"/>
              <w:textAlignment w:val="bottom"/>
              <w:rPr>
                <w:rFonts w:ascii="Arial" w:hAnsi="Arial" w:cs="Arial"/>
                <w:b/>
                <w:bCs/>
                <w:i/>
                <w:iCs/>
                <w:sz w:val="21"/>
                <w:szCs w:val="21"/>
              </w:rPr>
            </w:pPr>
            <w:r w:rsidRPr="004F68FD">
              <w:rPr>
                <w:rFonts w:ascii="Arial" w:hAnsi="Arial" w:cs="Arial"/>
                <w:b/>
                <w:bCs/>
                <w:i/>
                <w:iCs/>
                <w:sz w:val="21"/>
                <w:szCs w:val="21"/>
              </w:rPr>
              <w:t>…</w:t>
            </w:r>
          </w:p>
        </w:tc>
        <w:tc>
          <w:tcPr>
            <w:tcW w:w="1152" w:type="dxa"/>
            <w:shd w:val="clear" w:color="auto" w:fill="D9D9D9" w:themeFill="background1" w:themeFillShade="D9"/>
            <w:tcMar>
              <w:top w:w="5" w:type="dxa"/>
              <w:left w:w="5" w:type="dxa"/>
              <w:bottom w:w="0" w:type="dxa"/>
              <w:right w:w="5" w:type="dxa"/>
            </w:tcMar>
          </w:tcPr>
          <w:p w14:paraId="4F4407F0" w14:textId="77777777" w:rsidR="005E26FA" w:rsidRPr="004F68FD" w:rsidRDefault="005E26FA" w:rsidP="005E26FA">
            <w:pPr>
              <w:jc w:val="center"/>
              <w:textAlignment w:val="bottom"/>
              <w:rPr>
                <w:rFonts w:ascii="Arial" w:hAnsi="Arial" w:cs="Arial"/>
                <w:b/>
                <w:bCs/>
                <w:i/>
                <w:iCs/>
                <w:kern w:val="24"/>
                <w:sz w:val="21"/>
                <w:szCs w:val="21"/>
              </w:rPr>
            </w:pPr>
            <w:r w:rsidRPr="004F68FD">
              <w:rPr>
                <w:rFonts w:ascii="Arial" w:hAnsi="Arial" w:cs="Arial"/>
                <w:b/>
                <w:bCs/>
                <w:i/>
                <w:iCs/>
                <w:kern w:val="24"/>
                <w:sz w:val="21"/>
                <w:szCs w:val="21"/>
              </w:rPr>
              <w:t xml:space="preserve">   …</w:t>
            </w:r>
          </w:p>
        </w:tc>
        <w:tc>
          <w:tcPr>
            <w:tcW w:w="1080" w:type="dxa"/>
            <w:shd w:val="clear" w:color="auto" w:fill="D9D9D9" w:themeFill="background1" w:themeFillShade="D9"/>
            <w:tcMar>
              <w:top w:w="5" w:type="dxa"/>
              <w:left w:w="5" w:type="dxa"/>
              <w:bottom w:w="0" w:type="dxa"/>
              <w:right w:w="5" w:type="dxa"/>
            </w:tcMar>
          </w:tcPr>
          <w:p w14:paraId="7FF16FE1" w14:textId="77777777" w:rsidR="005E26FA" w:rsidRPr="004F68FD" w:rsidRDefault="005E26FA" w:rsidP="005E26FA">
            <w:pPr>
              <w:jc w:val="center"/>
              <w:textAlignment w:val="bottom"/>
              <w:rPr>
                <w:rFonts w:ascii="Arial" w:hAnsi="Arial" w:cs="Arial"/>
                <w:b/>
                <w:bCs/>
                <w:i/>
                <w:iCs/>
                <w:kern w:val="24"/>
                <w:sz w:val="21"/>
                <w:szCs w:val="21"/>
              </w:rPr>
            </w:pPr>
            <w:r w:rsidRPr="004F68FD">
              <w:rPr>
                <w:rFonts w:ascii="Arial" w:hAnsi="Arial" w:cs="Arial"/>
                <w:b/>
                <w:bCs/>
                <w:i/>
                <w:iCs/>
                <w:kern w:val="24"/>
                <w:sz w:val="21"/>
                <w:szCs w:val="21"/>
              </w:rPr>
              <w:t xml:space="preserve">  …</w:t>
            </w:r>
          </w:p>
        </w:tc>
      </w:tr>
      <w:tr w:rsidR="005E26FA" w:rsidRPr="00176515" w14:paraId="6A76B7F8" w14:textId="77777777" w:rsidTr="004F68FD">
        <w:trPr>
          <w:trHeight w:val="245"/>
        </w:trPr>
        <w:tc>
          <w:tcPr>
            <w:tcW w:w="1260" w:type="dxa"/>
            <w:shd w:val="clear" w:color="auto" w:fill="D9D9D9" w:themeFill="background1" w:themeFillShade="D9"/>
            <w:tcMar>
              <w:top w:w="5" w:type="dxa"/>
              <w:left w:w="5" w:type="dxa"/>
              <w:bottom w:w="0" w:type="dxa"/>
              <w:right w:w="5" w:type="dxa"/>
            </w:tcMar>
            <w:vAlign w:val="center"/>
          </w:tcPr>
          <w:p w14:paraId="6E639678"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Jan ‘20</w:t>
            </w:r>
          </w:p>
        </w:tc>
        <w:tc>
          <w:tcPr>
            <w:tcW w:w="1075" w:type="dxa"/>
            <w:shd w:val="clear" w:color="auto" w:fill="D9D9D9" w:themeFill="background1" w:themeFillShade="D9"/>
            <w:tcMar>
              <w:top w:w="5" w:type="dxa"/>
              <w:left w:w="5" w:type="dxa"/>
              <w:bottom w:w="0" w:type="dxa"/>
              <w:right w:w="5" w:type="dxa"/>
            </w:tcMar>
            <w:vAlign w:val="center"/>
          </w:tcPr>
          <w:p w14:paraId="7D90656A"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color w:val="000000"/>
                <w:sz w:val="21"/>
                <w:szCs w:val="21"/>
              </w:rPr>
              <w:t>14,823</w:t>
            </w:r>
          </w:p>
        </w:tc>
        <w:tc>
          <w:tcPr>
            <w:tcW w:w="1079" w:type="dxa"/>
            <w:shd w:val="clear" w:color="auto" w:fill="D9D9D9" w:themeFill="background1" w:themeFillShade="D9"/>
            <w:tcMar>
              <w:top w:w="5" w:type="dxa"/>
              <w:left w:w="5" w:type="dxa"/>
              <w:bottom w:w="0" w:type="dxa"/>
              <w:right w:w="5" w:type="dxa"/>
            </w:tcMar>
            <w:vAlign w:val="center"/>
          </w:tcPr>
          <w:p w14:paraId="278F7C09"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sz w:val="21"/>
                <w:szCs w:val="21"/>
              </w:rPr>
              <w:t>14,823</w:t>
            </w:r>
          </w:p>
        </w:tc>
        <w:tc>
          <w:tcPr>
            <w:tcW w:w="1152" w:type="dxa"/>
            <w:shd w:val="clear" w:color="auto" w:fill="D9D9D9" w:themeFill="background1" w:themeFillShade="D9"/>
            <w:tcMar>
              <w:top w:w="5" w:type="dxa"/>
              <w:left w:w="5" w:type="dxa"/>
              <w:bottom w:w="0" w:type="dxa"/>
              <w:right w:w="5" w:type="dxa"/>
            </w:tcMar>
            <w:vAlign w:val="center"/>
          </w:tcPr>
          <w:p w14:paraId="469627BB" w14:textId="77777777" w:rsidR="005E26FA" w:rsidRPr="004F68FD" w:rsidRDefault="005E26FA" w:rsidP="005E26FA">
            <w:pP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c>
          <w:tcPr>
            <w:tcW w:w="1080" w:type="dxa"/>
            <w:shd w:val="clear" w:color="auto" w:fill="D9D9D9" w:themeFill="background1" w:themeFillShade="D9"/>
            <w:tcMar>
              <w:top w:w="5" w:type="dxa"/>
              <w:left w:w="5" w:type="dxa"/>
              <w:bottom w:w="0" w:type="dxa"/>
              <w:right w:w="5" w:type="dxa"/>
            </w:tcMar>
            <w:vAlign w:val="center"/>
          </w:tcPr>
          <w:p w14:paraId="097F0F32"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r>
      <w:tr w:rsidR="005E26FA" w:rsidRPr="00176515" w14:paraId="3B4C041D" w14:textId="77777777" w:rsidTr="004F68FD">
        <w:trPr>
          <w:trHeight w:val="245"/>
        </w:trPr>
        <w:tc>
          <w:tcPr>
            <w:tcW w:w="1260" w:type="dxa"/>
            <w:shd w:val="clear" w:color="auto" w:fill="D9D9D9" w:themeFill="background1" w:themeFillShade="D9"/>
            <w:tcMar>
              <w:top w:w="5" w:type="dxa"/>
              <w:left w:w="5" w:type="dxa"/>
              <w:bottom w:w="0" w:type="dxa"/>
              <w:right w:w="5" w:type="dxa"/>
            </w:tcMar>
            <w:vAlign w:val="center"/>
          </w:tcPr>
          <w:p w14:paraId="677C97E2"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Feb ‘20</w:t>
            </w:r>
          </w:p>
        </w:tc>
        <w:tc>
          <w:tcPr>
            <w:tcW w:w="1075" w:type="dxa"/>
            <w:shd w:val="clear" w:color="auto" w:fill="D9D9D9" w:themeFill="background1" w:themeFillShade="D9"/>
            <w:tcMar>
              <w:top w:w="5" w:type="dxa"/>
              <w:left w:w="5" w:type="dxa"/>
              <w:bottom w:w="0" w:type="dxa"/>
              <w:right w:w="5" w:type="dxa"/>
            </w:tcMar>
            <w:vAlign w:val="center"/>
          </w:tcPr>
          <w:p w14:paraId="31DB9D6F"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color w:val="000000"/>
                <w:sz w:val="21"/>
                <w:szCs w:val="21"/>
              </w:rPr>
              <w:t>16,775</w:t>
            </w:r>
          </w:p>
        </w:tc>
        <w:tc>
          <w:tcPr>
            <w:tcW w:w="1079" w:type="dxa"/>
            <w:shd w:val="clear" w:color="auto" w:fill="D9D9D9" w:themeFill="background1" w:themeFillShade="D9"/>
            <w:tcMar>
              <w:top w:w="5" w:type="dxa"/>
              <w:left w:w="5" w:type="dxa"/>
              <w:bottom w:w="0" w:type="dxa"/>
              <w:right w:w="5" w:type="dxa"/>
            </w:tcMar>
            <w:vAlign w:val="center"/>
          </w:tcPr>
          <w:p w14:paraId="5133671E"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sz w:val="21"/>
                <w:szCs w:val="21"/>
              </w:rPr>
              <w:t>16,775</w:t>
            </w:r>
          </w:p>
        </w:tc>
        <w:tc>
          <w:tcPr>
            <w:tcW w:w="1152" w:type="dxa"/>
            <w:shd w:val="clear" w:color="auto" w:fill="D9D9D9" w:themeFill="background1" w:themeFillShade="D9"/>
            <w:tcMar>
              <w:top w:w="5" w:type="dxa"/>
              <w:left w:w="5" w:type="dxa"/>
              <w:bottom w:w="0" w:type="dxa"/>
              <w:right w:w="5" w:type="dxa"/>
            </w:tcMar>
            <w:vAlign w:val="center"/>
          </w:tcPr>
          <w:p w14:paraId="3C07C1CA"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c>
          <w:tcPr>
            <w:tcW w:w="1080" w:type="dxa"/>
            <w:shd w:val="clear" w:color="auto" w:fill="D9D9D9" w:themeFill="background1" w:themeFillShade="D9"/>
            <w:tcMar>
              <w:top w:w="5" w:type="dxa"/>
              <w:left w:w="5" w:type="dxa"/>
              <w:bottom w:w="0" w:type="dxa"/>
              <w:right w:w="5" w:type="dxa"/>
            </w:tcMar>
            <w:vAlign w:val="center"/>
          </w:tcPr>
          <w:p w14:paraId="10A23EB3" w14:textId="77777777" w:rsidR="005E26FA" w:rsidRPr="004F68FD" w:rsidRDefault="005E26FA" w:rsidP="005E26FA">
            <w:pPr>
              <w:jc w:val="center"/>
              <w:textAlignment w:val="bottom"/>
              <w:rPr>
                <w:rFonts w:ascii="Arial" w:hAnsi="Arial" w:cs="Arial"/>
                <w:i/>
                <w:iCs/>
                <w:kern w:val="24"/>
                <w:sz w:val="21"/>
                <w:szCs w:val="21"/>
              </w:rPr>
            </w:pPr>
            <w:r w:rsidRPr="004F68FD">
              <w:rPr>
                <w:rFonts w:ascii="Arial" w:hAnsi="Arial" w:cs="Arial"/>
                <w:i/>
                <w:iCs/>
                <w:kern w:val="24"/>
                <w:sz w:val="21"/>
                <w:szCs w:val="21"/>
              </w:rPr>
              <w:t xml:space="preserve">   −</w:t>
            </w:r>
          </w:p>
        </w:tc>
      </w:tr>
      <w:tr w:rsidR="005E26FA" w:rsidRPr="00176515" w14:paraId="35A64FBF" w14:textId="77777777" w:rsidTr="003F0CF9">
        <w:trPr>
          <w:trHeight w:val="245"/>
        </w:trPr>
        <w:tc>
          <w:tcPr>
            <w:tcW w:w="1260" w:type="dxa"/>
            <w:shd w:val="clear" w:color="auto" w:fill="auto"/>
            <w:tcMar>
              <w:top w:w="5" w:type="dxa"/>
              <w:left w:w="5" w:type="dxa"/>
              <w:bottom w:w="0" w:type="dxa"/>
              <w:right w:w="5" w:type="dxa"/>
            </w:tcMar>
            <w:vAlign w:val="center"/>
            <w:hideMark/>
          </w:tcPr>
          <w:p w14:paraId="6E469104"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Mar ‘20</w:t>
            </w:r>
          </w:p>
        </w:tc>
        <w:tc>
          <w:tcPr>
            <w:tcW w:w="1075" w:type="dxa"/>
            <w:shd w:val="clear" w:color="auto" w:fill="auto"/>
            <w:tcMar>
              <w:top w:w="5" w:type="dxa"/>
              <w:left w:w="5" w:type="dxa"/>
              <w:bottom w:w="0" w:type="dxa"/>
              <w:right w:w="5" w:type="dxa"/>
            </w:tcMar>
            <w:vAlign w:val="center"/>
            <w:hideMark/>
          </w:tcPr>
          <w:p w14:paraId="24364768"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20,168</w:t>
            </w:r>
          </w:p>
        </w:tc>
        <w:tc>
          <w:tcPr>
            <w:tcW w:w="1079" w:type="dxa"/>
            <w:shd w:val="clear" w:color="auto" w:fill="auto"/>
            <w:tcMar>
              <w:top w:w="5" w:type="dxa"/>
              <w:left w:w="5" w:type="dxa"/>
              <w:bottom w:w="0" w:type="dxa"/>
              <w:right w:w="5" w:type="dxa"/>
            </w:tcMar>
            <w:vAlign w:val="center"/>
            <w:hideMark/>
          </w:tcPr>
          <w:p w14:paraId="515E2B7C"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19,291</w:t>
            </w:r>
          </w:p>
        </w:tc>
        <w:tc>
          <w:tcPr>
            <w:tcW w:w="1152" w:type="dxa"/>
            <w:shd w:val="clear" w:color="auto" w:fill="auto"/>
            <w:tcMar>
              <w:top w:w="5" w:type="dxa"/>
              <w:left w:w="5" w:type="dxa"/>
              <w:bottom w:w="0" w:type="dxa"/>
              <w:right w:w="5" w:type="dxa"/>
            </w:tcMar>
            <w:vAlign w:val="center"/>
            <w:hideMark/>
          </w:tcPr>
          <w:p w14:paraId="24B7118F"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877</w:t>
            </w:r>
          </w:p>
        </w:tc>
        <w:tc>
          <w:tcPr>
            <w:tcW w:w="1080" w:type="dxa"/>
            <w:shd w:val="clear" w:color="auto" w:fill="auto"/>
            <w:tcMar>
              <w:top w:w="5" w:type="dxa"/>
              <w:left w:w="5" w:type="dxa"/>
              <w:bottom w:w="0" w:type="dxa"/>
              <w:right w:w="5" w:type="dxa"/>
            </w:tcMar>
            <w:vAlign w:val="center"/>
            <w:hideMark/>
          </w:tcPr>
          <w:p w14:paraId="1E2968C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4.5%</w:t>
            </w:r>
          </w:p>
        </w:tc>
      </w:tr>
      <w:tr w:rsidR="005E26FA" w:rsidRPr="00176515" w14:paraId="61DB6E2B" w14:textId="77777777" w:rsidTr="003F0CF9">
        <w:trPr>
          <w:trHeight w:val="245"/>
        </w:trPr>
        <w:tc>
          <w:tcPr>
            <w:tcW w:w="1260" w:type="dxa"/>
            <w:shd w:val="clear" w:color="auto" w:fill="auto"/>
            <w:tcMar>
              <w:top w:w="5" w:type="dxa"/>
              <w:left w:w="5" w:type="dxa"/>
              <w:bottom w:w="0" w:type="dxa"/>
              <w:right w:w="5" w:type="dxa"/>
            </w:tcMar>
            <w:vAlign w:val="center"/>
            <w:hideMark/>
          </w:tcPr>
          <w:p w14:paraId="484E32F8"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Apr ‘20</w:t>
            </w:r>
          </w:p>
        </w:tc>
        <w:tc>
          <w:tcPr>
            <w:tcW w:w="1075" w:type="dxa"/>
            <w:shd w:val="clear" w:color="auto" w:fill="auto"/>
            <w:tcMar>
              <w:top w:w="5" w:type="dxa"/>
              <w:left w:w="5" w:type="dxa"/>
              <w:bottom w:w="0" w:type="dxa"/>
              <w:right w:w="5" w:type="dxa"/>
            </w:tcMar>
            <w:vAlign w:val="center"/>
            <w:hideMark/>
          </w:tcPr>
          <w:p w14:paraId="7B063319"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23,174</w:t>
            </w:r>
          </w:p>
        </w:tc>
        <w:tc>
          <w:tcPr>
            <w:tcW w:w="1079" w:type="dxa"/>
            <w:shd w:val="clear" w:color="auto" w:fill="auto"/>
            <w:tcMar>
              <w:top w:w="5" w:type="dxa"/>
              <w:left w:w="5" w:type="dxa"/>
              <w:bottom w:w="0" w:type="dxa"/>
              <w:right w:w="5" w:type="dxa"/>
            </w:tcMar>
            <w:vAlign w:val="center"/>
            <w:hideMark/>
          </w:tcPr>
          <w:p w14:paraId="37E35293"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22,392</w:t>
            </w:r>
          </w:p>
        </w:tc>
        <w:tc>
          <w:tcPr>
            <w:tcW w:w="1152" w:type="dxa"/>
            <w:shd w:val="clear" w:color="auto" w:fill="auto"/>
            <w:tcMar>
              <w:top w:w="5" w:type="dxa"/>
              <w:left w:w="5" w:type="dxa"/>
              <w:bottom w:w="0" w:type="dxa"/>
              <w:right w:w="5" w:type="dxa"/>
            </w:tcMar>
            <w:vAlign w:val="center"/>
            <w:hideMark/>
          </w:tcPr>
          <w:p w14:paraId="26E39B0F"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782</w:t>
            </w:r>
          </w:p>
        </w:tc>
        <w:tc>
          <w:tcPr>
            <w:tcW w:w="1080" w:type="dxa"/>
            <w:shd w:val="clear" w:color="auto" w:fill="auto"/>
            <w:tcMar>
              <w:top w:w="5" w:type="dxa"/>
              <w:left w:w="5" w:type="dxa"/>
              <w:bottom w:w="0" w:type="dxa"/>
              <w:right w:w="5" w:type="dxa"/>
            </w:tcMar>
            <w:vAlign w:val="center"/>
            <w:hideMark/>
          </w:tcPr>
          <w:p w14:paraId="04C05722"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3.5%</w:t>
            </w:r>
          </w:p>
        </w:tc>
      </w:tr>
      <w:tr w:rsidR="005E26FA" w:rsidRPr="00176515" w14:paraId="77E1E215" w14:textId="77777777" w:rsidTr="003F0CF9">
        <w:trPr>
          <w:trHeight w:val="245"/>
        </w:trPr>
        <w:tc>
          <w:tcPr>
            <w:tcW w:w="1260" w:type="dxa"/>
            <w:shd w:val="clear" w:color="auto" w:fill="auto"/>
            <w:tcMar>
              <w:top w:w="5" w:type="dxa"/>
              <w:left w:w="5" w:type="dxa"/>
              <w:bottom w:w="0" w:type="dxa"/>
              <w:right w:w="5" w:type="dxa"/>
            </w:tcMar>
            <w:vAlign w:val="center"/>
            <w:hideMark/>
          </w:tcPr>
          <w:p w14:paraId="3A1E5804"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May ‘20</w:t>
            </w:r>
          </w:p>
        </w:tc>
        <w:tc>
          <w:tcPr>
            <w:tcW w:w="1075" w:type="dxa"/>
            <w:shd w:val="clear" w:color="auto" w:fill="auto"/>
            <w:tcMar>
              <w:top w:w="5" w:type="dxa"/>
              <w:left w:w="5" w:type="dxa"/>
              <w:bottom w:w="0" w:type="dxa"/>
              <w:right w:w="5" w:type="dxa"/>
            </w:tcMar>
            <w:vAlign w:val="center"/>
            <w:hideMark/>
          </w:tcPr>
          <w:p w14:paraId="3923569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26,450</w:t>
            </w:r>
          </w:p>
        </w:tc>
        <w:tc>
          <w:tcPr>
            <w:tcW w:w="1079" w:type="dxa"/>
            <w:shd w:val="clear" w:color="auto" w:fill="auto"/>
            <w:tcMar>
              <w:top w:w="5" w:type="dxa"/>
              <w:left w:w="5" w:type="dxa"/>
              <w:bottom w:w="0" w:type="dxa"/>
              <w:right w:w="5" w:type="dxa"/>
            </w:tcMar>
            <w:vAlign w:val="center"/>
            <w:hideMark/>
          </w:tcPr>
          <w:p w14:paraId="1BBE919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26,221</w:t>
            </w:r>
          </w:p>
        </w:tc>
        <w:tc>
          <w:tcPr>
            <w:tcW w:w="1152" w:type="dxa"/>
            <w:shd w:val="clear" w:color="auto" w:fill="auto"/>
            <w:tcMar>
              <w:top w:w="5" w:type="dxa"/>
              <w:left w:w="5" w:type="dxa"/>
              <w:bottom w:w="0" w:type="dxa"/>
              <w:right w:w="5" w:type="dxa"/>
            </w:tcMar>
            <w:vAlign w:val="center"/>
            <w:hideMark/>
          </w:tcPr>
          <w:p w14:paraId="78E4FFEF"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229</w:t>
            </w:r>
          </w:p>
        </w:tc>
        <w:tc>
          <w:tcPr>
            <w:tcW w:w="1080" w:type="dxa"/>
            <w:shd w:val="clear" w:color="auto" w:fill="auto"/>
            <w:tcMar>
              <w:top w:w="5" w:type="dxa"/>
              <w:left w:w="5" w:type="dxa"/>
              <w:bottom w:w="0" w:type="dxa"/>
              <w:right w:w="5" w:type="dxa"/>
            </w:tcMar>
            <w:vAlign w:val="center"/>
            <w:hideMark/>
          </w:tcPr>
          <w:p w14:paraId="043B741B"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0.9%</w:t>
            </w:r>
          </w:p>
        </w:tc>
      </w:tr>
      <w:tr w:rsidR="005E26FA" w:rsidRPr="00176515" w14:paraId="067036A5" w14:textId="77777777" w:rsidTr="003F0CF9">
        <w:trPr>
          <w:trHeight w:val="245"/>
        </w:trPr>
        <w:tc>
          <w:tcPr>
            <w:tcW w:w="1260" w:type="dxa"/>
            <w:shd w:val="clear" w:color="auto" w:fill="auto"/>
            <w:tcMar>
              <w:top w:w="5" w:type="dxa"/>
              <w:left w:w="5" w:type="dxa"/>
              <w:bottom w:w="0" w:type="dxa"/>
              <w:right w:w="5" w:type="dxa"/>
            </w:tcMar>
            <w:vAlign w:val="center"/>
            <w:hideMark/>
          </w:tcPr>
          <w:p w14:paraId="2FAB3B43"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Jun ‘20</w:t>
            </w:r>
          </w:p>
        </w:tc>
        <w:tc>
          <w:tcPr>
            <w:tcW w:w="1075" w:type="dxa"/>
            <w:shd w:val="clear" w:color="auto" w:fill="auto"/>
            <w:tcMar>
              <w:top w:w="5" w:type="dxa"/>
              <w:left w:w="5" w:type="dxa"/>
              <w:bottom w:w="0" w:type="dxa"/>
              <w:right w:w="5" w:type="dxa"/>
            </w:tcMar>
            <w:vAlign w:val="center"/>
            <w:hideMark/>
          </w:tcPr>
          <w:p w14:paraId="570D4817"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32,718</w:t>
            </w:r>
          </w:p>
        </w:tc>
        <w:tc>
          <w:tcPr>
            <w:tcW w:w="1079" w:type="dxa"/>
            <w:shd w:val="clear" w:color="auto" w:fill="auto"/>
            <w:tcMar>
              <w:top w:w="5" w:type="dxa"/>
              <w:left w:w="5" w:type="dxa"/>
              <w:bottom w:w="0" w:type="dxa"/>
              <w:right w:w="5" w:type="dxa"/>
            </w:tcMar>
            <w:vAlign w:val="center"/>
            <w:hideMark/>
          </w:tcPr>
          <w:p w14:paraId="33937086"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32,472</w:t>
            </w:r>
          </w:p>
        </w:tc>
        <w:tc>
          <w:tcPr>
            <w:tcW w:w="1152" w:type="dxa"/>
            <w:shd w:val="clear" w:color="auto" w:fill="auto"/>
            <w:tcMar>
              <w:top w:w="5" w:type="dxa"/>
              <w:left w:w="5" w:type="dxa"/>
              <w:bottom w:w="0" w:type="dxa"/>
              <w:right w:w="5" w:type="dxa"/>
            </w:tcMar>
            <w:vAlign w:val="center"/>
            <w:hideMark/>
          </w:tcPr>
          <w:p w14:paraId="3A509A2C"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246</w:t>
            </w:r>
          </w:p>
        </w:tc>
        <w:tc>
          <w:tcPr>
            <w:tcW w:w="1080" w:type="dxa"/>
            <w:shd w:val="clear" w:color="auto" w:fill="auto"/>
            <w:tcMar>
              <w:top w:w="5" w:type="dxa"/>
              <w:left w:w="5" w:type="dxa"/>
              <w:bottom w:w="0" w:type="dxa"/>
              <w:right w:w="5" w:type="dxa"/>
            </w:tcMar>
            <w:vAlign w:val="center"/>
            <w:hideMark/>
          </w:tcPr>
          <w:p w14:paraId="41376D7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0.8%</w:t>
            </w:r>
          </w:p>
        </w:tc>
      </w:tr>
      <w:tr w:rsidR="005E26FA" w:rsidRPr="00176515" w14:paraId="52AF9DCB" w14:textId="77777777" w:rsidTr="003F0CF9">
        <w:trPr>
          <w:trHeight w:val="245"/>
        </w:trPr>
        <w:tc>
          <w:tcPr>
            <w:tcW w:w="1260" w:type="dxa"/>
            <w:shd w:val="clear" w:color="auto" w:fill="auto"/>
            <w:tcMar>
              <w:top w:w="5" w:type="dxa"/>
              <w:left w:w="5" w:type="dxa"/>
              <w:bottom w:w="0" w:type="dxa"/>
              <w:right w:w="5" w:type="dxa"/>
            </w:tcMar>
            <w:vAlign w:val="center"/>
            <w:hideMark/>
          </w:tcPr>
          <w:p w14:paraId="19ED1071"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Jul ‘20</w:t>
            </w:r>
          </w:p>
        </w:tc>
        <w:tc>
          <w:tcPr>
            <w:tcW w:w="1075" w:type="dxa"/>
            <w:shd w:val="clear" w:color="auto" w:fill="auto"/>
            <w:tcMar>
              <w:top w:w="5" w:type="dxa"/>
              <w:left w:w="5" w:type="dxa"/>
              <w:bottom w:w="0" w:type="dxa"/>
              <w:right w:w="5" w:type="dxa"/>
            </w:tcMar>
            <w:vAlign w:val="center"/>
            <w:hideMark/>
          </w:tcPr>
          <w:p w14:paraId="369C70E1"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49,108</w:t>
            </w:r>
          </w:p>
        </w:tc>
        <w:tc>
          <w:tcPr>
            <w:tcW w:w="1079" w:type="dxa"/>
            <w:shd w:val="clear" w:color="auto" w:fill="auto"/>
            <w:tcMar>
              <w:top w:w="5" w:type="dxa"/>
              <w:left w:w="5" w:type="dxa"/>
              <w:bottom w:w="0" w:type="dxa"/>
              <w:right w:w="5" w:type="dxa"/>
            </w:tcMar>
            <w:vAlign w:val="center"/>
            <w:hideMark/>
          </w:tcPr>
          <w:p w14:paraId="2AA33990"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48,457</w:t>
            </w:r>
          </w:p>
        </w:tc>
        <w:tc>
          <w:tcPr>
            <w:tcW w:w="1152" w:type="dxa"/>
            <w:shd w:val="clear" w:color="auto" w:fill="auto"/>
            <w:tcMar>
              <w:top w:w="5" w:type="dxa"/>
              <w:left w:w="5" w:type="dxa"/>
              <w:bottom w:w="0" w:type="dxa"/>
              <w:right w:w="5" w:type="dxa"/>
            </w:tcMar>
            <w:vAlign w:val="center"/>
            <w:hideMark/>
          </w:tcPr>
          <w:p w14:paraId="52E40A46"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651</w:t>
            </w:r>
          </w:p>
        </w:tc>
        <w:tc>
          <w:tcPr>
            <w:tcW w:w="1080" w:type="dxa"/>
            <w:shd w:val="clear" w:color="auto" w:fill="auto"/>
            <w:tcMar>
              <w:top w:w="5" w:type="dxa"/>
              <w:left w:w="5" w:type="dxa"/>
              <w:bottom w:w="0" w:type="dxa"/>
              <w:right w:w="5" w:type="dxa"/>
            </w:tcMar>
            <w:vAlign w:val="center"/>
            <w:hideMark/>
          </w:tcPr>
          <w:p w14:paraId="116B0BC7"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1.3%</w:t>
            </w:r>
          </w:p>
        </w:tc>
      </w:tr>
      <w:tr w:rsidR="005E26FA" w:rsidRPr="00176515" w14:paraId="6642C312" w14:textId="77777777" w:rsidTr="003F0CF9">
        <w:trPr>
          <w:trHeight w:val="245"/>
        </w:trPr>
        <w:tc>
          <w:tcPr>
            <w:tcW w:w="1260" w:type="dxa"/>
            <w:shd w:val="clear" w:color="auto" w:fill="auto"/>
            <w:tcMar>
              <w:top w:w="5" w:type="dxa"/>
              <w:left w:w="5" w:type="dxa"/>
              <w:bottom w:w="0" w:type="dxa"/>
              <w:right w:w="5" w:type="dxa"/>
            </w:tcMar>
            <w:vAlign w:val="center"/>
            <w:hideMark/>
          </w:tcPr>
          <w:p w14:paraId="3645600B"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Aug ‘20</w:t>
            </w:r>
          </w:p>
        </w:tc>
        <w:tc>
          <w:tcPr>
            <w:tcW w:w="1075" w:type="dxa"/>
            <w:shd w:val="clear" w:color="auto" w:fill="auto"/>
            <w:tcMar>
              <w:top w:w="5" w:type="dxa"/>
              <w:left w:w="5" w:type="dxa"/>
              <w:bottom w:w="0" w:type="dxa"/>
              <w:right w:w="5" w:type="dxa"/>
            </w:tcMar>
            <w:vAlign w:val="center"/>
            <w:hideMark/>
          </w:tcPr>
          <w:p w14:paraId="1E826409"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51,462</w:t>
            </w:r>
          </w:p>
        </w:tc>
        <w:tc>
          <w:tcPr>
            <w:tcW w:w="1079" w:type="dxa"/>
            <w:shd w:val="clear" w:color="auto" w:fill="auto"/>
            <w:tcMar>
              <w:top w:w="5" w:type="dxa"/>
              <w:left w:w="5" w:type="dxa"/>
              <w:bottom w:w="0" w:type="dxa"/>
              <w:right w:w="5" w:type="dxa"/>
            </w:tcMar>
            <w:vAlign w:val="center"/>
            <w:hideMark/>
          </w:tcPr>
          <w:p w14:paraId="0B445F2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51,212</w:t>
            </w:r>
          </w:p>
        </w:tc>
        <w:tc>
          <w:tcPr>
            <w:tcW w:w="1152" w:type="dxa"/>
            <w:shd w:val="clear" w:color="auto" w:fill="auto"/>
            <w:tcMar>
              <w:top w:w="5" w:type="dxa"/>
              <w:left w:w="5" w:type="dxa"/>
              <w:bottom w:w="0" w:type="dxa"/>
              <w:right w:w="5" w:type="dxa"/>
            </w:tcMar>
            <w:vAlign w:val="center"/>
            <w:hideMark/>
          </w:tcPr>
          <w:p w14:paraId="5903F3C6"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250</w:t>
            </w:r>
          </w:p>
        </w:tc>
        <w:tc>
          <w:tcPr>
            <w:tcW w:w="1080" w:type="dxa"/>
            <w:shd w:val="clear" w:color="auto" w:fill="auto"/>
            <w:tcMar>
              <w:top w:w="5" w:type="dxa"/>
              <w:left w:w="5" w:type="dxa"/>
              <w:bottom w:w="0" w:type="dxa"/>
              <w:right w:w="5" w:type="dxa"/>
            </w:tcMar>
            <w:vAlign w:val="center"/>
            <w:hideMark/>
          </w:tcPr>
          <w:p w14:paraId="07ABD623"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0.5%</w:t>
            </w:r>
          </w:p>
        </w:tc>
      </w:tr>
      <w:tr w:rsidR="005E26FA" w:rsidRPr="00176515" w14:paraId="156033F5" w14:textId="77777777" w:rsidTr="003F0CF9">
        <w:trPr>
          <w:trHeight w:val="245"/>
        </w:trPr>
        <w:tc>
          <w:tcPr>
            <w:tcW w:w="1260" w:type="dxa"/>
            <w:shd w:val="clear" w:color="auto" w:fill="auto"/>
            <w:tcMar>
              <w:top w:w="5" w:type="dxa"/>
              <w:left w:w="5" w:type="dxa"/>
              <w:bottom w:w="0" w:type="dxa"/>
              <w:right w:w="5" w:type="dxa"/>
            </w:tcMar>
            <w:vAlign w:val="center"/>
            <w:hideMark/>
          </w:tcPr>
          <w:p w14:paraId="2A4278E2"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Sep ‘20</w:t>
            </w:r>
          </w:p>
        </w:tc>
        <w:tc>
          <w:tcPr>
            <w:tcW w:w="1075" w:type="dxa"/>
            <w:shd w:val="clear" w:color="auto" w:fill="auto"/>
            <w:tcMar>
              <w:top w:w="5" w:type="dxa"/>
              <w:left w:w="5" w:type="dxa"/>
              <w:bottom w:w="0" w:type="dxa"/>
              <w:right w:w="5" w:type="dxa"/>
            </w:tcMar>
            <w:vAlign w:val="center"/>
            <w:hideMark/>
          </w:tcPr>
          <w:p w14:paraId="53244CCB"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54,906</w:t>
            </w:r>
          </w:p>
        </w:tc>
        <w:tc>
          <w:tcPr>
            <w:tcW w:w="1079" w:type="dxa"/>
            <w:shd w:val="clear" w:color="auto" w:fill="auto"/>
            <w:tcMar>
              <w:top w:w="5" w:type="dxa"/>
              <w:left w:w="5" w:type="dxa"/>
              <w:bottom w:w="0" w:type="dxa"/>
              <w:right w:w="5" w:type="dxa"/>
            </w:tcMar>
            <w:vAlign w:val="center"/>
            <w:hideMark/>
          </w:tcPr>
          <w:p w14:paraId="32A2E7A8"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54,774</w:t>
            </w:r>
          </w:p>
        </w:tc>
        <w:tc>
          <w:tcPr>
            <w:tcW w:w="1152" w:type="dxa"/>
            <w:shd w:val="clear" w:color="auto" w:fill="auto"/>
            <w:tcMar>
              <w:top w:w="5" w:type="dxa"/>
              <w:left w:w="5" w:type="dxa"/>
              <w:bottom w:w="0" w:type="dxa"/>
              <w:right w:w="5" w:type="dxa"/>
            </w:tcMar>
            <w:vAlign w:val="center"/>
            <w:hideMark/>
          </w:tcPr>
          <w:p w14:paraId="2E9DDEB1"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132</w:t>
            </w:r>
          </w:p>
        </w:tc>
        <w:tc>
          <w:tcPr>
            <w:tcW w:w="1080" w:type="dxa"/>
            <w:shd w:val="clear" w:color="auto" w:fill="auto"/>
            <w:tcMar>
              <w:top w:w="5" w:type="dxa"/>
              <w:left w:w="5" w:type="dxa"/>
              <w:bottom w:w="0" w:type="dxa"/>
              <w:right w:w="5" w:type="dxa"/>
            </w:tcMar>
            <w:vAlign w:val="center"/>
            <w:hideMark/>
          </w:tcPr>
          <w:p w14:paraId="7974EACA"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0.2%</w:t>
            </w:r>
          </w:p>
        </w:tc>
      </w:tr>
      <w:tr w:rsidR="005E26FA" w:rsidRPr="00176515" w14:paraId="067B8056" w14:textId="77777777" w:rsidTr="003F0CF9">
        <w:trPr>
          <w:trHeight w:val="245"/>
        </w:trPr>
        <w:tc>
          <w:tcPr>
            <w:tcW w:w="1260" w:type="dxa"/>
            <w:shd w:val="clear" w:color="auto" w:fill="auto"/>
            <w:tcMar>
              <w:top w:w="5" w:type="dxa"/>
              <w:left w:w="5" w:type="dxa"/>
              <w:bottom w:w="0" w:type="dxa"/>
              <w:right w:w="5" w:type="dxa"/>
            </w:tcMar>
            <w:vAlign w:val="center"/>
            <w:hideMark/>
          </w:tcPr>
          <w:p w14:paraId="26B5F920"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Oct ‘20</w:t>
            </w:r>
          </w:p>
        </w:tc>
        <w:tc>
          <w:tcPr>
            <w:tcW w:w="1075" w:type="dxa"/>
            <w:shd w:val="clear" w:color="auto" w:fill="auto"/>
            <w:tcMar>
              <w:top w:w="5" w:type="dxa"/>
              <w:left w:w="5" w:type="dxa"/>
              <w:bottom w:w="0" w:type="dxa"/>
              <w:right w:w="5" w:type="dxa"/>
            </w:tcMar>
            <w:vAlign w:val="center"/>
            <w:hideMark/>
          </w:tcPr>
          <w:p w14:paraId="2E23002A"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64,346</w:t>
            </w:r>
          </w:p>
        </w:tc>
        <w:tc>
          <w:tcPr>
            <w:tcW w:w="1079" w:type="dxa"/>
            <w:shd w:val="clear" w:color="auto" w:fill="auto"/>
            <w:tcMar>
              <w:top w:w="5" w:type="dxa"/>
              <w:left w:w="5" w:type="dxa"/>
              <w:bottom w:w="0" w:type="dxa"/>
              <w:right w:w="5" w:type="dxa"/>
            </w:tcMar>
            <w:vAlign w:val="center"/>
            <w:hideMark/>
          </w:tcPr>
          <w:p w14:paraId="0FCA264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64,355</w:t>
            </w:r>
          </w:p>
        </w:tc>
        <w:tc>
          <w:tcPr>
            <w:tcW w:w="1152" w:type="dxa"/>
            <w:shd w:val="clear" w:color="auto" w:fill="auto"/>
            <w:tcMar>
              <w:top w:w="5" w:type="dxa"/>
              <w:left w:w="5" w:type="dxa"/>
              <w:bottom w:w="0" w:type="dxa"/>
              <w:right w:w="5" w:type="dxa"/>
            </w:tcMar>
            <w:vAlign w:val="center"/>
            <w:hideMark/>
          </w:tcPr>
          <w:p w14:paraId="592BFFAF"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-9</w:t>
            </w:r>
          </w:p>
        </w:tc>
        <w:tc>
          <w:tcPr>
            <w:tcW w:w="1080" w:type="dxa"/>
            <w:shd w:val="clear" w:color="auto" w:fill="auto"/>
            <w:tcMar>
              <w:top w:w="5" w:type="dxa"/>
              <w:left w:w="5" w:type="dxa"/>
              <w:bottom w:w="0" w:type="dxa"/>
              <w:right w:w="5" w:type="dxa"/>
            </w:tcMar>
            <w:vAlign w:val="center"/>
            <w:hideMark/>
          </w:tcPr>
          <w:p w14:paraId="07FCC0C2"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0.0%</w:t>
            </w:r>
          </w:p>
        </w:tc>
      </w:tr>
      <w:tr w:rsidR="005E26FA" w:rsidRPr="00176515" w14:paraId="2369117E" w14:textId="77777777" w:rsidTr="003F0CF9">
        <w:trPr>
          <w:trHeight w:val="245"/>
        </w:trPr>
        <w:tc>
          <w:tcPr>
            <w:tcW w:w="1260" w:type="dxa"/>
            <w:shd w:val="clear" w:color="auto" w:fill="auto"/>
            <w:tcMar>
              <w:top w:w="5" w:type="dxa"/>
              <w:left w:w="5" w:type="dxa"/>
              <w:bottom w:w="0" w:type="dxa"/>
              <w:right w:w="5" w:type="dxa"/>
            </w:tcMar>
            <w:vAlign w:val="center"/>
            <w:hideMark/>
          </w:tcPr>
          <w:p w14:paraId="4AF71D03"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Nov ‘20</w:t>
            </w:r>
          </w:p>
        </w:tc>
        <w:tc>
          <w:tcPr>
            <w:tcW w:w="1075" w:type="dxa"/>
            <w:shd w:val="clear" w:color="auto" w:fill="auto"/>
            <w:tcMar>
              <w:top w:w="5" w:type="dxa"/>
              <w:left w:w="5" w:type="dxa"/>
              <w:bottom w:w="0" w:type="dxa"/>
              <w:right w:w="5" w:type="dxa"/>
            </w:tcMar>
            <w:vAlign w:val="center"/>
            <w:hideMark/>
          </w:tcPr>
          <w:p w14:paraId="0520D7A8"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64,655</w:t>
            </w:r>
          </w:p>
        </w:tc>
        <w:tc>
          <w:tcPr>
            <w:tcW w:w="1079" w:type="dxa"/>
            <w:shd w:val="clear" w:color="auto" w:fill="auto"/>
            <w:tcMar>
              <w:top w:w="5" w:type="dxa"/>
              <w:left w:w="5" w:type="dxa"/>
              <w:bottom w:w="0" w:type="dxa"/>
              <w:right w:w="5" w:type="dxa"/>
            </w:tcMar>
            <w:vAlign w:val="center"/>
            <w:hideMark/>
          </w:tcPr>
          <w:p w14:paraId="57FDFA28"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64,577</w:t>
            </w:r>
          </w:p>
        </w:tc>
        <w:tc>
          <w:tcPr>
            <w:tcW w:w="1152" w:type="dxa"/>
            <w:shd w:val="clear" w:color="auto" w:fill="auto"/>
            <w:tcMar>
              <w:top w:w="5" w:type="dxa"/>
              <w:left w:w="5" w:type="dxa"/>
              <w:bottom w:w="0" w:type="dxa"/>
              <w:right w:w="5" w:type="dxa"/>
            </w:tcMar>
            <w:vAlign w:val="center"/>
            <w:hideMark/>
          </w:tcPr>
          <w:p w14:paraId="4572BE3A"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78</w:t>
            </w:r>
          </w:p>
        </w:tc>
        <w:tc>
          <w:tcPr>
            <w:tcW w:w="1080" w:type="dxa"/>
            <w:shd w:val="clear" w:color="auto" w:fill="auto"/>
            <w:tcMar>
              <w:top w:w="5" w:type="dxa"/>
              <w:left w:w="5" w:type="dxa"/>
              <w:bottom w:w="0" w:type="dxa"/>
              <w:right w:w="5" w:type="dxa"/>
            </w:tcMar>
            <w:vAlign w:val="center"/>
            <w:hideMark/>
          </w:tcPr>
          <w:p w14:paraId="5DF88DE9"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0.1%</w:t>
            </w:r>
          </w:p>
        </w:tc>
      </w:tr>
      <w:tr w:rsidR="005E26FA" w:rsidRPr="00176515" w14:paraId="4F18F298" w14:textId="77777777" w:rsidTr="003F0CF9">
        <w:trPr>
          <w:trHeight w:val="245"/>
        </w:trPr>
        <w:tc>
          <w:tcPr>
            <w:tcW w:w="1260" w:type="dxa"/>
            <w:shd w:val="clear" w:color="auto" w:fill="auto"/>
            <w:tcMar>
              <w:top w:w="5" w:type="dxa"/>
              <w:left w:w="5" w:type="dxa"/>
              <w:bottom w:w="0" w:type="dxa"/>
              <w:right w:w="5" w:type="dxa"/>
            </w:tcMar>
            <w:vAlign w:val="center"/>
            <w:hideMark/>
          </w:tcPr>
          <w:p w14:paraId="10D0CD31"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Dec ’20</w:t>
            </w:r>
          </w:p>
        </w:tc>
        <w:tc>
          <w:tcPr>
            <w:tcW w:w="1075" w:type="dxa"/>
            <w:shd w:val="clear" w:color="auto" w:fill="auto"/>
            <w:tcMar>
              <w:top w:w="5" w:type="dxa"/>
              <w:left w:w="5" w:type="dxa"/>
              <w:bottom w:w="0" w:type="dxa"/>
              <w:right w:w="5" w:type="dxa"/>
            </w:tcMar>
            <w:vAlign w:val="center"/>
            <w:hideMark/>
          </w:tcPr>
          <w:p w14:paraId="355C900B"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64,899</w:t>
            </w:r>
          </w:p>
        </w:tc>
        <w:tc>
          <w:tcPr>
            <w:tcW w:w="1079" w:type="dxa"/>
            <w:shd w:val="clear" w:color="auto" w:fill="auto"/>
            <w:tcMar>
              <w:top w:w="5" w:type="dxa"/>
              <w:left w:w="5" w:type="dxa"/>
              <w:bottom w:w="0" w:type="dxa"/>
              <w:right w:w="5" w:type="dxa"/>
            </w:tcMar>
            <w:vAlign w:val="center"/>
            <w:hideMark/>
          </w:tcPr>
          <w:p w14:paraId="3B0EB529"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64,778</w:t>
            </w:r>
          </w:p>
        </w:tc>
        <w:tc>
          <w:tcPr>
            <w:tcW w:w="1152" w:type="dxa"/>
            <w:shd w:val="clear" w:color="auto" w:fill="auto"/>
            <w:tcMar>
              <w:top w:w="5" w:type="dxa"/>
              <w:left w:w="5" w:type="dxa"/>
              <w:bottom w:w="0" w:type="dxa"/>
              <w:right w:w="5" w:type="dxa"/>
            </w:tcMar>
            <w:vAlign w:val="center"/>
            <w:hideMark/>
          </w:tcPr>
          <w:p w14:paraId="3E48C474"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121</w:t>
            </w:r>
          </w:p>
        </w:tc>
        <w:tc>
          <w:tcPr>
            <w:tcW w:w="1080" w:type="dxa"/>
            <w:shd w:val="clear" w:color="auto" w:fill="auto"/>
            <w:tcMar>
              <w:top w:w="5" w:type="dxa"/>
              <w:left w:w="5" w:type="dxa"/>
              <w:bottom w:w="0" w:type="dxa"/>
              <w:right w:w="5" w:type="dxa"/>
            </w:tcMar>
            <w:vAlign w:val="center"/>
            <w:hideMark/>
          </w:tcPr>
          <w:p w14:paraId="08A578D3"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0.2%</w:t>
            </w:r>
          </w:p>
        </w:tc>
      </w:tr>
      <w:tr w:rsidR="005E26FA" w:rsidRPr="00176515" w14:paraId="66CA86EB" w14:textId="77777777" w:rsidTr="003F0CF9">
        <w:trPr>
          <w:trHeight w:val="245"/>
        </w:trPr>
        <w:tc>
          <w:tcPr>
            <w:tcW w:w="1260" w:type="dxa"/>
            <w:shd w:val="clear" w:color="auto" w:fill="auto"/>
            <w:tcMar>
              <w:top w:w="5" w:type="dxa"/>
              <w:left w:w="5" w:type="dxa"/>
              <w:bottom w:w="0" w:type="dxa"/>
              <w:right w:w="5" w:type="dxa"/>
            </w:tcMar>
            <w:vAlign w:val="center"/>
            <w:hideMark/>
          </w:tcPr>
          <w:p w14:paraId="0B1F970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Jan ‘21</w:t>
            </w:r>
          </w:p>
        </w:tc>
        <w:tc>
          <w:tcPr>
            <w:tcW w:w="1075" w:type="dxa"/>
            <w:shd w:val="clear" w:color="auto" w:fill="auto"/>
            <w:tcMar>
              <w:top w:w="5" w:type="dxa"/>
              <w:left w:w="5" w:type="dxa"/>
              <w:bottom w:w="0" w:type="dxa"/>
              <w:right w:w="5" w:type="dxa"/>
            </w:tcMar>
            <w:vAlign w:val="center"/>
            <w:hideMark/>
          </w:tcPr>
          <w:p w14:paraId="55F27B6E"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65,058</w:t>
            </w:r>
          </w:p>
        </w:tc>
        <w:tc>
          <w:tcPr>
            <w:tcW w:w="1079" w:type="dxa"/>
            <w:shd w:val="clear" w:color="auto" w:fill="auto"/>
            <w:tcMar>
              <w:top w:w="5" w:type="dxa"/>
              <w:left w:w="5" w:type="dxa"/>
              <w:bottom w:w="0" w:type="dxa"/>
              <w:right w:w="5" w:type="dxa"/>
            </w:tcMar>
            <w:vAlign w:val="center"/>
            <w:hideMark/>
          </w:tcPr>
          <w:p w14:paraId="5275FD28"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65,015</w:t>
            </w:r>
          </w:p>
        </w:tc>
        <w:tc>
          <w:tcPr>
            <w:tcW w:w="1152" w:type="dxa"/>
            <w:shd w:val="clear" w:color="auto" w:fill="auto"/>
            <w:tcMar>
              <w:top w:w="5" w:type="dxa"/>
              <w:left w:w="5" w:type="dxa"/>
              <w:bottom w:w="0" w:type="dxa"/>
              <w:right w:w="5" w:type="dxa"/>
            </w:tcMar>
            <w:vAlign w:val="center"/>
            <w:hideMark/>
          </w:tcPr>
          <w:p w14:paraId="137DCB57"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43</w:t>
            </w:r>
          </w:p>
        </w:tc>
        <w:tc>
          <w:tcPr>
            <w:tcW w:w="1080" w:type="dxa"/>
            <w:shd w:val="clear" w:color="auto" w:fill="auto"/>
            <w:tcMar>
              <w:top w:w="5" w:type="dxa"/>
              <w:left w:w="5" w:type="dxa"/>
              <w:bottom w:w="0" w:type="dxa"/>
              <w:right w:w="5" w:type="dxa"/>
            </w:tcMar>
            <w:vAlign w:val="center"/>
            <w:hideMark/>
          </w:tcPr>
          <w:p w14:paraId="5BEE79FB"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0.1%</w:t>
            </w:r>
          </w:p>
        </w:tc>
      </w:tr>
      <w:tr w:rsidR="005E26FA" w:rsidRPr="00176515" w14:paraId="6D07C895" w14:textId="77777777" w:rsidTr="003F0CF9">
        <w:trPr>
          <w:trHeight w:val="245"/>
        </w:trPr>
        <w:tc>
          <w:tcPr>
            <w:tcW w:w="1260" w:type="dxa"/>
            <w:shd w:val="clear" w:color="auto" w:fill="auto"/>
            <w:tcMar>
              <w:top w:w="5" w:type="dxa"/>
              <w:left w:w="5" w:type="dxa"/>
              <w:bottom w:w="0" w:type="dxa"/>
              <w:right w:w="5" w:type="dxa"/>
            </w:tcMar>
            <w:vAlign w:val="center"/>
            <w:hideMark/>
          </w:tcPr>
          <w:p w14:paraId="02A6E56D"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kern w:val="24"/>
                <w:sz w:val="21"/>
                <w:szCs w:val="21"/>
              </w:rPr>
              <w:t>Feb ‘21</w:t>
            </w:r>
          </w:p>
        </w:tc>
        <w:tc>
          <w:tcPr>
            <w:tcW w:w="1075" w:type="dxa"/>
            <w:shd w:val="clear" w:color="auto" w:fill="auto"/>
            <w:tcMar>
              <w:top w:w="5" w:type="dxa"/>
              <w:left w:w="5" w:type="dxa"/>
              <w:bottom w:w="0" w:type="dxa"/>
              <w:right w:w="5" w:type="dxa"/>
            </w:tcMar>
            <w:vAlign w:val="center"/>
            <w:hideMark/>
          </w:tcPr>
          <w:p w14:paraId="57BC4A55"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65,240</w:t>
            </w:r>
          </w:p>
        </w:tc>
        <w:tc>
          <w:tcPr>
            <w:tcW w:w="1079" w:type="dxa"/>
            <w:shd w:val="clear" w:color="auto" w:fill="auto"/>
            <w:tcMar>
              <w:top w:w="5" w:type="dxa"/>
              <w:left w:w="5" w:type="dxa"/>
              <w:bottom w:w="0" w:type="dxa"/>
              <w:right w:w="5" w:type="dxa"/>
            </w:tcMar>
            <w:vAlign w:val="center"/>
            <w:hideMark/>
          </w:tcPr>
          <w:p w14:paraId="6D7C8083"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65,210</w:t>
            </w:r>
          </w:p>
        </w:tc>
        <w:tc>
          <w:tcPr>
            <w:tcW w:w="1152" w:type="dxa"/>
            <w:shd w:val="clear" w:color="auto" w:fill="auto"/>
            <w:tcMar>
              <w:top w:w="5" w:type="dxa"/>
              <w:left w:w="5" w:type="dxa"/>
              <w:bottom w:w="0" w:type="dxa"/>
              <w:right w:w="5" w:type="dxa"/>
            </w:tcMar>
            <w:vAlign w:val="center"/>
            <w:hideMark/>
          </w:tcPr>
          <w:p w14:paraId="5C5B0611" w14:textId="77777777" w:rsidR="005E26FA" w:rsidRPr="004F68FD" w:rsidRDefault="005E26FA" w:rsidP="005E26FA">
            <w:pPr>
              <w:textAlignment w:val="bottom"/>
              <w:rPr>
                <w:rFonts w:ascii="Arial" w:hAnsi="Arial" w:cs="Arial"/>
                <w:sz w:val="21"/>
                <w:szCs w:val="21"/>
              </w:rPr>
            </w:pPr>
            <w:r w:rsidRPr="004F68FD">
              <w:rPr>
                <w:rFonts w:ascii="Arial" w:hAnsi="Arial" w:cs="Arial"/>
                <w:sz w:val="21"/>
                <w:szCs w:val="21"/>
              </w:rPr>
              <w:t xml:space="preserve">         30</w:t>
            </w:r>
          </w:p>
        </w:tc>
        <w:tc>
          <w:tcPr>
            <w:tcW w:w="1080" w:type="dxa"/>
            <w:shd w:val="clear" w:color="auto" w:fill="auto"/>
            <w:tcMar>
              <w:top w:w="5" w:type="dxa"/>
              <w:left w:w="5" w:type="dxa"/>
              <w:bottom w:w="0" w:type="dxa"/>
              <w:right w:w="5" w:type="dxa"/>
            </w:tcMar>
            <w:vAlign w:val="center"/>
            <w:hideMark/>
          </w:tcPr>
          <w:p w14:paraId="2B04AA58" w14:textId="77777777" w:rsidR="005E26FA" w:rsidRPr="004F68FD" w:rsidRDefault="005E26FA" w:rsidP="005E26FA">
            <w:pPr>
              <w:jc w:val="center"/>
              <w:textAlignment w:val="bottom"/>
              <w:rPr>
                <w:rFonts w:ascii="Arial" w:hAnsi="Arial" w:cs="Arial"/>
                <w:sz w:val="21"/>
                <w:szCs w:val="21"/>
              </w:rPr>
            </w:pPr>
            <w:r w:rsidRPr="004F68FD">
              <w:rPr>
                <w:rFonts w:ascii="Arial" w:hAnsi="Arial" w:cs="Arial"/>
                <w:sz w:val="21"/>
                <w:szCs w:val="21"/>
              </w:rPr>
              <w:t xml:space="preserve">  0.0%</w:t>
            </w:r>
          </w:p>
        </w:tc>
      </w:tr>
      <w:tr w:rsidR="005E26FA" w:rsidRPr="00176515" w14:paraId="57DDB030" w14:textId="77777777" w:rsidTr="003F0CF9">
        <w:trPr>
          <w:trHeight w:val="245"/>
        </w:trPr>
        <w:tc>
          <w:tcPr>
            <w:tcW w:w="1260" w:type="dxa"/>
            <w:shd w:val="clear" w:color="auto" w:fill="auto"/>
            <w:tcMar>
              <w:top w:w="5" w:type="dxa"/>
              <w:left w:w="5" w:type="dxa"/>
              <w:bottom w:w="0" w:type="dxa"/>
              <w:right w:w="5" w:type="dxa"/>
            </w:tcMar>
            <w:vAlign w:val="center"/>
          </w:tcPr>
          <w:p w14:paraId="5EA6FB6E"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kern w:val="24"/>
                <w:sz w:val="21"/>
                <w:szCs w:val="21"/>
              </w:rPr>
              <w:t>Mar ‘21</w:t>
            </w:r>
          </w:p>
        </w:tc>
        <w:tc>
          <w:tcPr>
            <w:tcW w:w="1075" w:type="dxa"/>
            <w:shd w:val="clear" w:color="auto" w:fill="auto"/>
            <w:tcMar>
              <w:top w:w="5" w:type="dxa"/>
              <w:left w:w="5" w:type="dxa"/>
              <w:bottom w:w="0" w:type="dxa"/>
              <w:right w:w="5" w:type="dxa"/>
            </w:tcMar>
            <w:vAlign w:val="center"/>
          </w:tcPr>
          <w:p w14:paraId="47089C2D"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65,425</w:t>
            </w:r>
          </w:p>
        </w:tc>
        <w:tc>
          <w:tcPr>
            <w:tcW w:w="1079" w:type="dxa"/>
            <w:shd w:val="clear" w:color="auto" w:fill="auto"/>
            <w:tcMar>
              <w:top w:w="5" w:type="dxa"/>
              <w:left w:w="5" w:type="dxa"/>
              <w:bottom w:w="0" w:type="dxa"/>
              <w:right w:w="5" w:type="dxa"/>
            </w:tcMar>
            <w:vAlign w:val="center"/>
          </w:tcPr>
          <w:p w14:paraId="305C55CC"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65,396</w:t>
            </w:r>
          </w:p>
        </w:tc>
        <w:tc>
          <w:tcPr>
            <w:tcW w:w="1152" w:type="dxa"/>
            <w:shd w:val="clear" w:color="auto" w:fill="auto"/>
            <w:tcMar>
              <w:top w:w="5" w:type="dxa"/>
              <w:left w:w="5" w:type="dxa"/>
              <w:bottom w:w="0" w:type="dxa"/>
              <w:right w:w="5" w:type="dxa"/>
            </w:tcMar>
            <w:vAlign w:val="center"/>
          </w:tcPr>
          <w:p w14:paraId="615438B7" w14:textId="77777777" w:rsidR="005E26FA" w:rsidRPr="004F68FD" w:rsidRDefault="005E26FA" w:rsidP="005E26FA">
            <w:pPr>
              <w:textAlignment w:val="bottom"/>
              <w:rPr>
                <w:rFonts w:ascii="Arial" w:hAnsi="Arial" w:cs="Arial"/>
                <w:kern w:val="24"/>
                <w:sz w:val="21"/>
                <w:szCs w:val="21"/>
              </w:rPr>
            </w:pPr>
            <w:r w:rsidRPr="004F68FD">
              <w:rPr>
                <w:rFonts w:ascii="Arial" w:hAnsi="Arial" w:cs="Arial"/>
                <w:sz w:val="21"/>
                <w:szCs w:val="21"/>
              </w:rPr>
              <w:t xml:space="preserve">         29</w:t>
            </w:r>
          </w:p>
        </w:tc>
        <w:tc>
          <w:tcPr>
            <w:tcW w:w="1080" w:type="dxa"/>
            <w:shd w:val="clear" w:color="auto" w:fill="auto"/>
            <w:tcMar>
              <w:top w:w="5" w:type="dxa"/>
              <w:left w:w="5" w:type="dxa"/>
              <w:bottom w:w="0" w:type="dxa"/>
              <w:right w:w="5" w:type="dxa"/>
            </w:tcMar>
            <w:vAlign w:val="center"/>
          </w:tcPr>
          <w:p w14:paraId="7710BADD"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 xml:space="preserve">  0.0%</w:t>
            </w:r>
          </w:p>
        </w:tc>
      </w:tr>
      <w:tr w:rsidR="005E26FA" w:rsidRPr="00176515" w14:paraId="0F8176F7" w14:textId="77777777" w:rsidTr="003F0CF9">
        <w:trPr>
          <w:trHeight w:val="245"/>
        </w:trPr>
        <w:tc>
          <w:tcPr>
            <w:tcW w:w="1260" w:type="dxa"/>
            <w:shd w:val="clear" w:color="auto" w:fill="auto"/>
            <w:tcMar>
              <w:top w:w="5" w:type="dxa"/>
              <w:left w:w="5" w:type="dxa"/>
              <w:bottom w:w="0" w:type="dxa"/>
              <w:right w:w="5" w:type="dxa"/>
            </w:tcMar>
            <w:vAlign w:val="center"/>
          </w:tcPr>
          <w:p w14:paraId="6EBCFDAC"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kern w:val="24"/>
                <w:sz w:val="21"/>
                <w:szCs w:val="21"/>
              </w:rPr>
              <w:t>Apr ‘21</w:t>
            </w:r>
          </w:p>
        </w:tc>
        <w:tc>
          <w:tcPr>
            <w:tcW w:w="1075" w:type="dxa"/>
            <w:shd w:val="clear" w:color="auto" w:fill="auto"/>
            <w:tcMar>
              <w:top w:w="5" w:type="dxa"/>
              <w:left w:w="5" w:type="dxa"/>
              <w:bottom w:w="0" w:type="dxa"/>
              <w:right w:w="5" w:type="dxa"/>
            </w:tcMar>
            <w:vAlign w:val="center"/>
          </w:tcPr>
          <w:p w14:paraId="635CA053"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65,563</w:t>
            </w:r>
          </w:p>
        </w:tc>
        <w:tc>
          <w:tcPr>
            <w:tcW w:w="1079" w:type="dxa"/>
            <w:shd w:val="clear" w:color="auto" w:fill="auto"/>
            <w:tcMar>
              <w:top w:w="5" w:type="dxa"/>
              <w:left w:w="5" w:type="dxa"/>
              <w:bottom w:w="0" w:type="dxa"/>
              <w:right w:w="5" w:type="dxa"/>
            </w:tcMar>
            <w:vAlign w:val="center"/>
          </w:tcPr>
          <w:p w14:paraId="737F7F45"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65,563</w:t>
            </w:r>
          </w:p>
        </w:tc>
        <w:tc>
          <w:tcPr>
            <w:tcW w:w="1152" w:type="dxa"/>
            <w:shd w:val="clear" w:color="auto" w:fill="auto"/>
            <w:tcMar>
              <w:top w:w="5" w:type="dxa"/>
              <w:left w:w="5" w:type="dxa"/>
              <w:bottom w:w="0" w:type="dxa"/>
              <w:right w:w="5" w:type="dxa"/>
            </w:tcMar>
            <w:vAlign w:val="center"/>
          </w:tcPr>
          <w:p w14:paraId="7D426237" w14:textId="77777777" w:rsidR="005E26FA" w:rsidRPr="004F68FD" w:rsidRDefault="005E26FA" w:rsidP="005E26FA">
            <w:pPr>
              <w:textAlignment w:val="bottom"/>
              <w:rPr>
                <w:rFonts w:ascii="Arial" w:hAnsi="Arial" w:cs="Arial"/>
                <w:kern w:val="24"/>
                <w:sz w:val="21"/>
                <w:szCs w:val="21"/>
              </w:rPr>
            </w:pPr>
            <w:r w:rsidRPr="004F68FD">
              <w:rPr>
                <w:rFonts w:ascii="Arial" w:hAnsi="Arial" w:cs="Arial"/>
                <w:sz w:val="21"/>
                <w:szCs w:val="21"/>
              </w:rPr>
              <w:t xml:space="preserve">           0</w:t>
            </w:r>
          </w:p>
        </w:tc>
        <w:tc>
          <w:tcPr>
            <w:tcW w:w="1080" w:type="dxa"/>
            <w:shd w:val="clear" w:color="auto" w:fill="auto"/>
            <w:tcMar>
              <w:top w:w="5" w:type="dxa"/>
              <w:left w:w="5" w:type="dxa"/>
              <w:bottom w:w="0" w:type="dxa"/>
              <w:right w:w="5" w:type="dxa"/>
            </w:tcMar>
            <w:vAlign w:val="center"/>
          </w:tcPr>
          <w:p w14:paraId="76BEC466"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 xml:space="preserve">  0.0%</w:t>
            </w:r>
          </w:p>
        </w:tc>
      </w:tr>
      <w:tr w:rsidR="005E26FA" w:rsidRPr="00176515" w14:paraId="7CBD79C4" w14:textId="77777777" w:rsidTr="003F0CF9">
        <w:trPr>
          <w:trHeight w:val="245"/>
        </w:trPr>
        <w:tc>
          <w:tcPr>
            <w:tcW w:w="1260" w:type="dxa"/>
            <w:shd w:val="clear" w:color="auto" w:fill="auto"/>
            <w:tcMar>
              <w:top w:w="5" w:type="dxa"/>
              <w:left w:w="5" w:type="dxa"/>
              <w:bottom w:w="0" w:type="dxa"/>
              <w:right w:w="5" w:type="dxa"/>
            </w:tcMar>
            <w:vAlign w:val="center"/>
          </w:tcPr>
          <w:p w14:paraId="74BDA995"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kern w:val="24"/>
                <w:sz w:val="21"/>
                <w:szCs w:val="21"/>
              </w:rPr>
              <w:t>May ‘21</w:t>
            </w:r>
          </w:p>
        </w:tc>
        <w:tc>
          <w:tcPr>
            <w:tcW w:w="1075" w:type="dxa"/>
            <w:shd w:val="clear" w:color="auto" w:fill="auto"/>
            <w:tcMar>
              <w:top w:w="5" w:type="dxa"/>
              <w:left w:w="5" w:type="dxa"/>
              <w:bottom w:w="0" w:type="dxa"/>
              <w:right w:w="5" w:type="dxa"/>
            </w:tcMar>
          </w:tcPr>
          <w:p w14:paraId="2B1FC0C0"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65,798</w:t>
            </w:r>
          </w:p>
        </w:tc>
        <w:tc>
          <w:tcPr>
            <w:tcW w:w="1079" w:type="dxa"/>
            <w:shd w:val="clear" w:color="auto" w:fill="auto"/>
            <w:tcMar>
              <w:top w:w="5" w:type="dxa"/>
              <w:left w:w="5" w:type="dxa"/>
              <w:bottom w:w="0" w:type="dxa"/>
              <w:right w:w="5" w:type="dxa"/>
            </w:tcMar>
          </w:tcPr>
          <w:p w14:paraId="7C3256E5"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65,734</w:t>
            </w:r>
          </w:p>
        </w:tc>
        <w:tc>
          <w:tcPr>
            <w:tcW w:w="1152" w:type="dxa"/>
            <w:shd w:val="clear" w:color="auto" w:fill="auto"/>
            <w:tcMar>
              <w:top w:w="5" w:type="dxa"/>
              <w:left w:w="5" w:type="dxa"/>
              <w:bottom w:w="0" w:type="dxa"/>
              <w:right w:w="5" w:type="dxa"/>
            </w:tcMar>
          </w:tcPr>
          <w:p w14:paraId="323C8488" w14:textId="2F6B1AC0" w:rsidR="005E26FA" w:rsidRPr="004F68FD" w:rsidRDefault="005E26FA" w:rsidP="005E26FA">
            <w:pPr>
              <w:textAlignment w:val="bottom"/>
              <w:rPr>
                <w:rFonts w:ascii="Arial" w:hAnsi="Arial" w:cs="Arial"/>
                <w:kern w:val="24"/>
                <w:sz w:val="21"/>
                <w:szCs w:val="21"/>
              </w:rPr>
            </w:pPr>
            <w:r w:rsidRPr="004F68FD">
              <w:rPr>
                <w:rFonts w:ascii="Arial" w:hAnsi="Arial" w:cs="Arial"/>
                <w:sz w:val="21"/>
                <w:szCs w:val="21"/>
              </w:rPr>
              <w:t xml:space="preserve">        </w:t>
            </w:r>
            <w:r w:rsidR="00125162" w:rsidRPr="004F68FD">
              <w:rPr>
                <w:rFonts w:ascii="Arial" w:hAnsi="Arial" w:cs="Arial"/>
                <w:sz w:val="21"/>
                <w:szCs w:val="21"/>
              </w:rPr>
              <w:t>64</w:t>
            </w:r>
          </w:p>
        </w:tc>
        <w:tc>
          <w:tcPr>
            <w:tcW w:w="1080" w:type="dxa"/>
            <w:shd w:val="clear" w:color="auto" w:fill="auto"/>
            <w:tcMar>
              <w:top w:w="5" w:type="dxa"/>
              <w:left w:w="5" w:type="dxa"/>
              <w:bottom w:w="0" w:type="dxa"/>
              <w:right w:w="5" w:type="dxa"/>
            </w:tcMar>
          </w:tcPr>
          <w:p w14:paraId="56B51A44" w14:textId="77777777" w:rsidR="005E26FA" w:rsidRPr="004F68FD" w:rsidRDefault="005E26FA" w:rsidP="005E26FA">
            <w:pPr>
              <w:jc w:val="center"/>
              <w:textAlignment w:val="bottom"/>
              <w:rPr>
                <w:rFonts w:ascii="Arial" w:hAnsi="Arial" w:cs="Arial"/>
                <w:kern w:val="24"/>
                <w:sz w:val="21"/>
                <w:szCs w:val="21"/>
              </w:rPr>
            </w:pPr>
            <w:r w:rsidRPr="004F68FD">
              <w:rPr>
                <w:rFonts w:ascii="Arial" w:hAnsi="Arial" w:cs="Arial"/>
                <w:sz w:val="21"/>
                <w:szCs w:val="21"/>
              </w:rPr>
              <w:t xml:space="preserve">  0.0%</w:t>
            </w:r>
          </w:p>
        </w:tc>
      </w:tr>
    </w:tbl>
    <w:p w14:paraId="17B3FBA3" w14:textId="79CF0EE2" w:rsidR="003F6548" w:rsidRPr="004F68FD" w:rsidRDefault="00CF35C3" w:rsidP="00921F80">
      <w:pPr>
        <w:jc w:val="both"/>
        <w:rPr>
          <w:rFonts w:ascii="Arial" w:hAnsi="Arial" w:cs="Arial"/>
          <w:sz w:val="21"/>
          <w:szCs w:val="21"/>
        </w:rPr>
      </w:pPr>
      <w:r w:rsidRPr="004F68FD">
        <w:rPr>
          <w:rFonts w:ascii="Arial" w:hAnsi="Arial" w:cs="Arial"/>
          <w:sz w:val="21"/>
          <w:szCs w:val="21"/>
        </w:rPr>
        <w:t xml:space="preserve">As a result of the COVID-19 public health emergency (PHE), the IRS and DOL offered a relief package that </w:t>
      </w:r>
      <w:r w:rsidR="00FF72B5">
        <w:rPr>
          <w:rFonts w:ascii="Arial" w:hAnsi="Arial" w:cs="Arial"/>
          <w:sz w:val="21"/>
          <w:szCs w:val="21"/>
        </w:rPr>
        <w:t>postponed</w:t>
      </w:r>
      <w:r w:rsidR="00FF72B5" w:rsidRPr="004F68FD">
        <w:rPr>
          <w:rFonts w:ascii="Arial" w:hAnsi="Arial" w:cs="Arial"/>
          <w:sz w:val="21"/>
          <w:szCs w:val="21"/>
        </w:rPr>
        <w:t xml:space="preserve"> </w:t>
      </w:r>
      <w:r w:rsidRPr="004F68FD">
        <w:rPr>
          <w:rFonts w:ascii="Arial" w:hAnsi="Arial" w:cs="Arial"/>
          <w:sz w:val="21"/>
          <w:szCs w:val="21"/>
        </w:rPr>
        <w:t xml:space="preserve">filing deadlines for plans with </w:t>
      </w:r>
      <w:r w:rsidR="00FF72B5">
        <w:rPr>
          <w:rFonts w:ascii="Arial" w:hAnsi="Arial" w:cs="Arial"/>
          <w:sz w:val="21"/>
          <w:szCs w:val="21"/>
        </w:rPr>
        <w:t>due dates</w:t>
      </w:r>
      <w:r w:rsidRPr="004F68FD">
        <w:rPr>
          <w:rFonts w:ascii="Arial" w:hAnsi="Arial" w:cs="Arial"/>
          <w:sz w:val="21"/>
          <w:szCs w:val="21"/>
        </w:rPr>
        <w:t xml:space="preserve"> between April 1, 2020 and July 14,</w:t>
      </w:r>
      <w:r w:rsidR="006B4A5E" w:rsidRPr="004F68FD">
        <w:rPr>
          <w:rFonts w:ascii="Arial" w:hAnsi="Arial" w:cs="Arial"/>
          <w:sz w:val="21"/>
          <w:szCs w:val="21"/>
        </w:rPr>
        <w:t xml:space="preserve"> </w:t>
      </w:r>
      <w:r w:rsidRPr="004F68FD">
        <w:rPr>
          <w:rFonts w:ascii="Arial" w:hAnsi="Arial" w:cs="Arial"/>
          <w:sz w:val="21"/>
          <w:szCs w:val="21"/>
        </w:rPr>
        <w:t xml:space="preserve">2020 to </w:t>
      </w:r>
      <w:r w:rsidR="00FF72B5">
        <w:rPr>
          <w:rFonts w:ascii="Arial" w:hAnsi="Arial" w:cs="Arial"/>
          <w:sz w:val="21"/>
          <w:szCs w:val="21"/>
        </w:rPr>
        <w:t xml:space="preserve">a new due date of </w:t>
      </w:r>
      <w:r w:rsidRPr="004F68FD">
        <w:rPr>
          <w:rFonts w:ascii="Arial" w:hAnsi="Arial" w:cs="Arial"/>
          <w:sz w:val="21"/>
          <w:szCs w:val="21"/>
        </w:rPr>
        <w:t>July 15, 2020</w:t>
      </w:r>
      <w:r w:rsidR="00E45D07" w:rsidRPr="004F68FD">
        <w:rPr>
          <w:rFonts w:ascii="Arial" w:hAnsi="Arial" w:cs="Arial"/>
          <w:sz w:val="21"/>
          <w:szCs w:val="21"/>
        </w:rPr>
        <w:t>.</w:t>
      </w:r>
      <w:r w:rsidR="005E26FA" w:rsidRPr="004F68FD">
        <w:rPr>
          <w:rStyle w:val="FootnoteReference"/>
          <w:rFonts w:ascii="Arial" w:hAnsi="Arial" w:cs="Arial"/>
          <w:sz w:val="21"/>
          <w:szCs w:val="21"/>
        </w:rPr>
        <w:footnoteReference w:id="4"/>
      </w:r>
      <w:r w:rsidRPr="004F68FD">
        <w:rPr>
          <w:rFonts w:ascii="Arial" w:hAnsi="Arial" w:cs="Arial"/>
          <w:sz w:val="21"/>
          <w:szCs w:val="21"/>
        </w:rPr>
        <w:t xml:space="preserve"> </w:t>
      </w:r>
      <w:r w:rsidR="0032333C" w:rsidRPr="004F68FD">
        <w:rPr>
          <w:rFonts w:ascii="Arial" w:hAnsi="Arial" w:cs="Arial"/>
          <w:sz w:val="21"/>
          <w:szCs w:val="21"/>
        </w:rPr>
        <w:t xml:space="preserve">In order to </w:t>
      </w:r>
      <w:r w:rsidR="00D914CB" w:rsidRPr="004F68FD">
        <w:rPr>
          <w:rFonts w:ascii="Arial" w:hAnsi="Arial" w:cs="Arial"/>
          <w:sz w:val="21"/>
          <w:szCs w:val="21"/>
        </w:rPr>
        <w:t xml:space="preserve">address concerns that </w:t>
      </w:r>
      <w:r w:rsidR="0032333C" w:rsidRPr="004F68FD">
        <w:rPr>
          <w:rFonts w:ascii="Arial" w:hAnsi="Arial" w:cs="Arial"/>
          <w:sz w:val="21"/>
          <w:szCs w:val="21"/>
        </w:rPr>
        <w:t>th</w:t>
      </w:r>
      <w:r w:rsidR="00D914CB" w:rsidRPr="004F68FD">
        <w:rPr>
          <w:rFonts w:ascii="Arial" w:hAnsi="Arial" w:cs="Arial"/>
          <w:sz w:val="21"/>
          <w:szCs w:val="21"/>
        </w:rPr>
        <w:t xml:space="preserve">e PHE could result in filing delays that </w:t>
      </w:r>
      <w:r w:rsidR="00125162" w:rsidRPr="004F68FD">
        <w:rPr>
          <w:rFonts w:ascii="Arial" w:hAnsi="Arial" w:cs="Arial"/>
          <w:sz w:val="21"/>
          <w:szCs w:val="21"/>
        </w:rPr>
        <w:t xml:space="preserve">potentially </w:t>
      </w:r>
      <w:r w:rsidR="00D914CB" w:rsidRPr="004F68FD">
        <w:rPr>
          <w:rFonts w:ascii="Arial" w:hAnsi="Arial" w:cs="Arial"/>
          <w:sz w:val="21"/>
          <w:szCs w:val="21"/>
        </w:rPr>
        <w:t xml:space="preserve">could impact the statistics presented in this report, </w:t>
      </w:r>
      <w:r w:rsidR="00633260" w:rsidRPr="004F68FD">
        <w:rPr>
          <w:rFonts w:ascii="Arial" w:hAnsi="Arial" w:cs="Arial"/>
          <w:sz w:val="21"/>
          <w:szCs w:val="21"/>
        </w:rPr>
        <w:t>EBSA compar</w:t>
      </w:r>
      <w:r w:rsidRPr="004F68FD">
        <w:rPr>
          <w:rFonts w:ascii="Arial" w:hAnsi="Arial" w:cs="Arial"/>
          <w:sz w:val="21"/>
          <w:szCs w:val="21"/>
        </w:rPr>
        <w:t>ed</w:t>
      </w:r>
      <w:r w:rsidR="00633260" w:rsidRPr="004F68FD">
        <w:rPr>
          <w:rFonts w:ascii="Arial" w:hAnsi="Arial" w:cs="Arial"/>
          <w:sz w:val="21"/>
          <w:szCs w:val="21"/>
        </w:rPr>
        <w:t xml:space="preserve"> actual filing counts</w:t>
      </w:r>
      <w:r w:rsidRPr="004F68FD">
        <w:rPr>
          <w:rFonts w:ascii="Arial" w:hAnsi="Arial" w:cs="Arial"/>
          <w:sz w:val="21"/>
          <w:szCs w:val="21"/>
        </w:rPr>
        <w:t xml:space="preserve"> </w:t>
      </w:r>
      <w:r w:rsidR="00633260" w:rsidRPr="004F68FD">
        <w:rPr>
          <w:rFonts w:ascii="Arial" w:hAnsi="Arial" w:cs="Arial"/>
          <w:sz w:val="21"/>
          <w:szCs w:val="21"/>
        </w:rPr>
        <w:t xml:space="preserve">with historical filing patterns </w:t>
      </w:r>
      <w:r w:rsidR="00D914CB" w:rsidRPr="004F68FD">
        <w:rPr>
          <w:rFonts w:ascii="Arial" w:hAnsi="Arial" w:cs="Arial"/>
          <w:sz w:val="21"/>
          <w:szCs w:val="21"/>
        </w:rPr>
        <w:t>from</w:t>
      </w:r>
      <w:r w:rsidR="00633260" w:rsidRPr="004F68FD">
        <w:rPr>
          <w:rFonts w:ascii="Arial" w:hAnsi="Arial" w:cs="Arial"/>
          <w:sz w:val="21"/>
          <w:szCs w:val="21"/>
        </w:rPr>
        <w:t xml:space="preserve"> prior years</w:t>
      </w:r>
      <w:r w:rsidR="00D914CB" w:rsidRPr="004F68FD">
        <w:rPr>
          <w:rFonts w:ascii="Arial" w:hAnsi="Arial" w:cs="Arial"/>
          <w:sz w:val="21"/>
          <w:szCs w:val="21"/>
        </w:rPr>
        <w:t xml:space="preserve">. </w:t>
      </w:r>
      <w:bookmarkStart w:id="0" w:name="_Hlk76576601"/>
      <w:r w:rsidR="00D914CB" w:rsidRPr="004F68FD">
        <w:rPr>
          <w:rFonts w:ascii="Arial" w:hAnsi="Arial" w:cs="Arial"/>
          <w:sz w:val="21"/>
          <w:szCs w:val="21"/>
        </w:rPr>
        <w:t>Findings from this analysis indicated some minor filing delays—particularly during the period in which some plans were granted filing relief—but</w:t>
      </w:r>
      <w:r w:rsidR="00277D83">
        <w:rPr>
          <w:rFonts w:ascii="Arial" w:hAnsi="Arial" w:cs="Arial"/>
          <w:sz w:val="21"/>
          <w:szCs w:val="21"/>
        </w:rPr>
        <w:t xml:space="preserve"> did not suggest that these delays ha</w:t>
      </w:r>
      <w:r w:rsidR="0080582C">
        <w:rPr>
          <w:rFonts w:ascii="Arial" w:hAnsi="Arial" w:cs="Arial"/>
          <w:sz w:val="21"/>
          <w:szCs w:val="21"/>
        </w:rPr>
        <w:t>d</w:t>
      </w:r>
      <w:r w:rsidR="00277D83">
        <w:rPr>
          <w:rFonts w:ascii="Arial" w:hAnsi="Arial" w:cs="Arial"/>
          <w:sz w:val="21"/>
          <w:szCs w:val="21"/>
        </w:rPr>
        <w:t xml:space="preserve"> a material impact on the statistics presented in this report.</w:t>
      </w:r>
      <w:bookmarkEnd w:id="0"/>
    </w:p>
    <w:p w14:paraId="3B91D0C5" w14:textId="5A33FEE1" w:rsidR="00D914CB" w:rsidRPr="00176515" w:rsidRDefault="00D914CB" w:rsidP="00D914CB">
      <w:pPr>
        <w:pStyle w:val="Heading1"/>
        <w:rPr>
          <w:sz w:val="28"/>
          <w:szCs w:val="28"/>
        </w:rPr>
      </w:pPr>
      <w:r w:rsidRPr="00176515">
        <w:rPr>
          <w:sz w:val="28"/>
          <w:szCs w:val="28"/>
        </w:rPr>
        <w:t>Analysis of Actual vs. Expected Filing Patterns</w:t>
      </w:r>
    </w:p>
    <w:p w14:paraId="76D72B2E" w14:textId="00F76C81" w:rsidR="006C65DB" w:rsidRPr="004F68FD" w:rsidRDefault="00E45D07" w:rsidP="00B856CB">
      <w:pPr>
        <w:jc w:val="both"/>
        <w:rPr>
          <w:rFonts w:ascii="Arial" w:hAnsi="Arial" w:cs="Arial"/>
          <w:sz w:val="21"/>
          <w:szCs w:val="21"/>
        </w:rPr>
      </w:pPr>
      <w:r w:rsidRPr="004F68FD">
        <w:rPr>
          <w:rFonts w:ascii="Arial" w:hAnsi="Arial" w:cs="Arial"/>
          <w:sz w:val="21"/>
          <w:szCs w:val="21"/>
        </w:rPr>
        <w:t xml:space="preserve">EBSA </w:t>
      </w:r>
      <w:r w:rsidR="00FF72B5" w:rsidRPr="004F68FD">
        <w:rPr>
          <w:rFonts w:ascii="Arial" w:hAnsi="Arial" w:cs="Arial"/>
          <w:sz w:val="21"/>
          <w:szCs w:val="21"/>
        </w:rPr>
        <w:t>us</w:t>
      </w:r>
      <w:r w:rsidR="00FF72B5">
        <w:rPr>
          <w:rFonts w:ascii="Arial" w:hAnsi="Arial" w:cs="Arial"/>
          <w:sz w:val="21"/>
          <w:szCs w:val="21"/>
        </w:rPr>
        <w:t>ed</w:t>
      </w:r>
      <w:r w:rsidR="00FF72B5" w:rsidRPr="004F68FD">
        <w:rPr>
          <w:rFonts w:ascii="Arial" w:hAnsi="Arial" w:cs="Arial"/>
          <w:sz w:val="21"/>
          <w:szCs w:val="21"/>
        </w:rPr>
        <w:t xml:space="preserve"> raw Form 5500 data </w:t>
      </w:r>
      <w:r w:rsidR="00FF72B5">
        <w:rPr>
          <w:rFonts w:ascii="Arial" w:hAnsi="Arial" w:cs="Arial"/>
          <w:sz w:val="21"/>
          <w:szCs w:val="21"/>
        </w:rPr>
        <w:t xml:space="preserve">to </w:t>
      </w:r>
      <w:r w:rsidRPr="004F68FD">
        <w:rPr>
          <w:rFonts w:ascii="Arial" w:hAnsi="Arial" w:cs="Arial"/>
          <w:sz w:val="21"/>
          <w:szCs w:val="21"/>
        </w:rPr>
        <w:t xml:space="preserve">calculate </w:t>
      </w:r>
      <w:r w:rsidR="00FF72B5">
        <w:rPr>
          <w:rFonts w:ascii="Arial" w:hAnsi="Arial" w:cs="Arial"/>
          <w:sz w:val="21"/>
          <w:szCs w:val="21"/>
        </w:rPr>
        <w:t>“</w:t>
      </w:r>
      <w:r w:rsidRPr="004F68FD">
        <w:rPr>
          <w:rFonts w:ascii="Arial" w:hAnsi="Arial" w:cs="Arial"/>
          <w:sz w:val="21"/>
          <w:szCs w:val="21"/>
        </w:rPr>
        <w:t>development factors</w:t>
      </w:r>
      <w:r w:rsidR="00FF72B5">
        <w:rPr>
          <w:rFonts w:ascii="Arial" w:hAnsi="Arial" w:cs="Arial"/>
          <w:sz w:val="21"/>
          <w:szCs w:val="21"/>
        </w:rPr>
        <w:t>”—</w:t>
      </w:r>
      <w:r w:rsidR="003F41FF" w:rsidRPr="004F68FD">
        <w:rPr>
          <w:rFonts w:ascii="Arial" w:hAnsi="Arial" w:cs="Arial"/>
          <w:sz w:val="21"/>
          <w:szCs w:val="21"/>
        </w:rPr>
        <w:t xml:space="preserve">the </w:t>
      </w:r>
      <w:r w:rsidR="00FF72B5">
        <w:rPr>
          <w:rFonts w:ascii="Arial" w:hAnsi="Arial" w:cs="Arial"/>
          <w:sz w:val="21"/>
          <w:szCs w:val="21"/>
        </w:rPr>
        <w:t xml:space="preserve">percent </w:t>
      </w:r>
      <w:r w:rsidR="003F41FF" w:rsidRPr="004F68FD">
        <w:rPr>
          <w:rFonts w:ascii="Arial" w:hAnsi="Arial" w:cs="Arial"/>
          <w:sz w:val="21"/>
          <w:szCs w:val="21"/>
        </w:rPr>
        <w:t>growth rate in the cumulative filings received by month</w:t>
      </w:r>
      <w:r w:rsidR="00FF72B5">
        <w:rPr>
          <w:rFonts w:ascii="Arial" w:hAnsi="Arial" w:cs="Arial"/>
          <w:sz w:val="21"/>
          <w:szCs w:val="21"/>
        </w:rPr>
        <w:t>—</w:t>
      </w:r>
      <w:r w:rsidR="00125162" w:rsidRPr="004F68FD">
        <w:rPr>
          <w:rFonts w:ascii="Arial" w:hAnsi="Arial" w:cs="Arial"/>
          <w:sz w:val="21"/>
          <w:szCs w:val="21"/>
        </w:rPr>
        <w:t xml:space="preserve">for each of the </w:t>
      </w:r>
      <w:r w:rsidR="006D0E36" w:rsidRPr="004F68FD">
        <w:rPr>
          <w:rFonts w:ascii="Arial" w:hAnsi="Arial" w:cs="Arial"/>
          <w:sz w:val="21"/>
          <w:szCs w:val="21"/>
        </w:rPr>
        <w:t>Group Health Plan</w:t>
      </w:r>
      <w:r w:rsidR="00621CD9" w:rsidRPr="004F68FD">
        <w:rPr>
          <w:rFonts w:ascii="Arial" w:hAnsi="Arial" w:cs="Arial"/>
          <w:sz w:val="21"/>
          <w:szCs w:val="21"/>
        </w:rPr>
        <w:t>s</w:t>
      </w:r>
      <w:r w:rsidR="006D0E36" w:rsidRPr="004F68FD">
        <w:rPr>
          <w:rFonts w:ascii="Arial" w:hAnsi="Arial" w:cs="Arial"/>
          <w:sz w:val="21"/>
          <w:szCs w:val="21"/>
        </w:rPr>
        <w:t xml:space="preserve"> Research File</w:t>
      </w:r>
      <w:r w:rsidR="0021623A" w:rsidRPr="004F68FD">
        <w:rPr>
          <w:rFonts w:ascii="Arial" w:hAnsi="Arial" w:cs="Arial"/>
          <w:sz w:val="21"/>
          <w:szCs w:val="21"/>
        </w:rPr>
        <w:t>s (“Research Files”)</w:t>
      </w:r>
      <w:r w:rsidR="006D0E36" w:rsidRPr="004F68FD">
        <w:rPr>
          <w:rFonts w:ascii="Arial" w:hAnsi="Arial" w:cs="Arial"/>
          <w:sz w:val="21"/>
          <w:szCs w:val="21"/>
        </w:rPr>
        <w:t xml:space="preserve"> dating back to 2010</w:t>
      </w:r>
      <w:r w:rsidR="003F41FF" w:rsidRPr="004F68FD">
        <w:rPr>
          <w:rFonts w:ascii="Arial" w:hAnsi="Arial" w:cs="Arial"/>
          <w:sz w:val="21"/>
          <w:szCs w:val="21"/>
        </w:rPr>
        <w:t xml:space="preserve">. The development factors were averaged over several years, then used to estimate an expected filing pattern for group health plans filing the Form 5500. </w:t>
      </w:r>
      <w:r w:rsidR="006C65DB" w:rsidRPr="004F68FD">
        <w:rPr>
          <w:rFonts w:ascii="Arial" w:hAnsi="Arial" w:cs="Arial"/>
          <w:sz w:val="21"/>
          <w:szCs w:val="21"/>
        </w:rPr>
        <w:t xml:space="preserve">EBSA </w:t>
      </w:r>
      <w:r w:rsidR="006D0E36" w:rsidRPr="004F68FD">
        <w:rPr>
          <w:rFonts w:ascii="Arial" w:hAnsi="Arial" w:cs="Arial"/>
          <w:sz w:val="21"/>
          <w:szCs w:val="21"/>
        </w:rPr>
        <w:t xml:space="preserve">also </w:t>
      </w:r>
      <w:r w:rsidR="006C65DB" w:rsidRPr="004F68FD">
        <w:rPr>
          <w:rFonts w:ascii="Arial" w:hAnsi="Arial" w:cs="Arial"/>
          <w:sz w:val="21"/>
          <w:szCs w:val="21"/>
        </w:rPr>
        <w:t xml:space="preserve">tracked filings received with plan years ending in 2019 through February 2020—the month before the PHE was declared—then applied the </w:t>
      </w:r>
      <w:r w:rsidR="006D0E36" w:rsidRPr="004F68FD">
        <w:rPr>
          <w:rFonts w:ascii="Arial" w:hAnsi="Arial" w:cs="Arial"/>
          <w:sz w:val="21"/>
          <w:szCs w:val="21"/>
        </w:rPr>
        <w:t>average development factors</w:t>
      </w:r>
      <w:r w:rsidR="006C65DB" w:rsidRPr="004F68FD">
        <w:rPr>
          <w:rFonts w:ascii="Arial" w:hAnsi="Arial" w:cs="Arial"/>
          <w:sz w:val="21"/>
          <w:szCs w:val="21"/>
        </w:rPr>
        <w:t xml:space="preserve"> to approximate the expected number of filings that would be received by month in the absence of the PHE. </w:t>
      </w:r>
      <w:r w:rsidR="006D0E36" w:rsidRPr="004F68FD">
        <w:rPr>
          <w:rFonts w:ascii="Arial" w:hAnsi="Arial" w:cs="Arial"/>
          <w:sz w:val="21"/>
          <w:szCs w:val="21"/>
        </w:rPr>
        <w:t xml:space="preserve">This expected filing pattern was then compared with the actual filing pattern for plans included in the 2019 Research </w:t>
      </w:r>
      <w:r w:rsidR="0021623A" w:rsidRPr="004F68FD">
        <w:rPr>
          <w:rFonts w:ascii="Arial" w:hAnsi="Arial" w:cs="Arial"/>
          <w:sz w:val="21"/>
          <w:szCs w:val="21"/>
        </w:rPr>
        <w:t>F</w:t>
      </w:r>
      <w:r w:rsidR="006D0E36" w:rsidRPr="004F68FD">
        <w:rPr>
          <w:rFonts w:ascii="Arial" w:hAnsi="Arial" w:cs="Arial"/>
          <w:sz w:val="21"/>
          <w:szCs w:val="21"/>
        </w:rPr>
        <w:t xml:space="preserve">ile. </w:t>
      </w:r>
    </w:p>
    <w:p w14:paraId="7E5F8D43" w14:textId="77777777" w:rsidR="006D0E36" w:rsidRPr="004F68FD" w:rsidRDefault="006D0E36" w:rsidP="00B856CB">
      <w:pPr>
        <w:jc w:val="both"/>
        <w:rPr>
          <w:rFonts w:ascii="Arial" w:hAnsi="Arial" w:cs="Arial"/>
          <w:sz w:val="21"/>
          <w:szCs w:val="21"/>
        </w:rPr>
      </w:pPr>
    </w:p>
    <w:p w14:paraId="6EBF4ED9" w14:textId="4D48A0D2" w:rsidR="00BF7FC0" w:rsidRPr="004F68FD" w:rsidRDefault="0021623A" w:rsidP="00B856CB">
      <w:pPr>
        <w:jc w:val="both"/>
        <w:rPr>
          <w:rFonts w:ascii="Arial" w:hAnsi="Arial" w:cs="Arial"/>
          <w:sz w:val="21"/>
          <w:szCs w:val="21"/>
        </w:rPr>
      </w:pPr>
      <w:r w:rsidRPr="004F68FD">
        <w:rPr>
          <w:rFonts w:ascii="Arial" w:hAnsi="Arial" w:cs="Arial"/>
          <w:sz w:val="21"/>
          <w:szCs w:val="21"/>
        </w:rPr>
        <w:t>T</w:t>
      </w:r>
      <w:r w:rsidR="006D0E36" w:rsidRPr="004F68FD">
        <w:rPr>
          <w:rFonts w:ascii="Arial" w:hAnsi="Arial" w:cs="Arial"/>
          <w:sz w:val="21"/>
          <w:szCs w:val="21"/>
        </w:rPr>
        <w:t xml:space="preserve">able 2 </w:t>
      </w:r>
      <w:r w:rsidRPr="004F68FD">
        <w:rPr>
          <w:rFonts w:ascii="Arial" w:hAnsi="Arial" w:cs="Arial"/>
          <w:sz w:val="21"/>
          <w:szCs w:val="21"/>
        </w:rPr>
        <w:t xml:space="preserve">shows the comparison of actual data from the 2019 Research File </w:t>
      </w:r>
      <w:r w:rsidR="009402E9" w:rsidRPr="004F68FD">
        <w:rPr>
          <w:rFonts w:ascii="Arial" w:hAnsi="Arial" w:cs="Arial"/>
          <w:sz w:val="21"/>
          <w:szCs w:val="21"/>
        </w:rPr>
        <w:t xml:space="preserve">to </w:t>
      </w:r>
      <w:r w:rsidRPr="004F68FD">
        <w:rPr>
          <w:rFonts w:ascii="Arial" w:hAnsi="Arial" w:cs="Arial"/>
          <w:sz w:val="21"/>
          <w:szCs w:val="21"/>
        </w:rPr>
        <w:t xml:space="preserve">the </w:t>
      </w:r>
      <w:r w:rsidR="00584322" w:rsidRPr="004F68FD">
        <w:rPr>
          <w:rFonts w:ascii="Arial" w:hAnsi="Arial" w:cs="Arial"/>
          <w:sz w:val="21"/>
          <w:szCs w:val="21"/>
        </w:rPr>
        <w:t xml:space="preserve">average </w:t>
      </w:r>
      <w:r w:rsidRPr="004F68FD">
        <w:rPr>
          <w:rFonts w:ascii="Arial" w:hAnsi="Arial" w:cs="Arial"/>
          <w:sz w:val="21"/>
          <w:szCs w:val="21"/>
        </w:rPr>
        <w:t>expected filing pattern based on data from the previous three Research Files (2016-2018).</w:t>
      </w:r>
      <w:r w:rsidRPr="004F68FD">
        <w:rPr>
          <w:rStyle w:val="FootnoteReference"/>
          <w:rFonts w:ascii="Arial" w:hAnsi="Arial" w:cs="Arial"/>
          <w:sz w:val="21"/>
          <w:szCs w:val="21"/>
        </w:rPr>
        <w:footnoteReference w:id="5"/>
      </w:r>
      <w:r w:rsidRPr="004F68FD">
        <w:rPr>
          <w:rFonts w:ascii="Arial" w:hAnsi="Arial" w:cs="Arial"/>
          <w:sz w:val="21"/>
          <w:szCs w:val="21"/>
        </w:rPr>
        <w:t xml:space="preserve"> The rate of filing was higher than expected in March 2020, then dipped </w:t>
      </w:r>
      <w:r w:rsidR="00411253" w:rsidRPr="004F68FD">
        <w:rPr>
          <w:rFonts w:ascii="Arial" w:hAnsi="Arial" w:cs="Arial"/>
          <w:sz w:val="21"/>
          <w:szCs w:val="21"/>
        </w:rPr>
        <w:t>between April and June as some plans received filing relief, before rebounding slightly at the end of the relief period in July. As in prior years, the majority of filings were received between July and October, with the rate of filing dropping considerably thereafter. While some minor filing delays</w:t>
      </w:r>
      <w:r w:rsidR="00621CD9" w:rsidRPr="004F68FD">
        <w:rPr>
          <w:rFonts w:ascii="Arial" w:hAnsi="Arial" w:cs="Arial"/>
          <w:sz w:val="21"/>
          <w:szCs w:val="21"/>
        </w:rPr>
        <w:t xml:space="preserve"> appear to have occurred</w:t>
      </w:r>
      <w:r w:rsidR="00411253" w:rsidRPr="004F68FD">
        <w:rPr>
          <w:rFonts w:ascii="Arial" w:hAnsi="Arial" w:cs="Arial"/>
          <w:sz w:val="21"/>
          <w:szCs w:val="21"/>
        </w:rPr>
        <w:t xml:space="preserve"> at </w:t>
      </w:r>
      <w:r w:rsidR="00584322" w:rsidRPr="004F68FD">
        <w:rPr>
          <w:rFonts w:ascii="Arial" w:hAnsi="Arial" w:cs="Arial"/>
          <w:sz w:val="21"/>
          <w:szCs w:val="21"/>
        </w:rPr>
        <w:t xml:space="preserve">the </w:t>
      </w:r>
      <w:r w:rsidR="00411253" w:rsidRPr="004F68FD">
        <w:rPr>
          <w:rFonts w:ascii="Arial" w:hAnsi="Arial" w:cs="Arial"/>
          <w:sz w:val="21"/>
          <w:szCs w:val="21"/>
        </w:rPr>
        <w:t>onset of the PHE,</w:t>
      </w:r>
      <w:r w:rsidR="00621CD9" w:rsidRPr="004F68FD">
        <w:rPr>
          <w:rFonts w:ascii="Arial" w:hAnsi="Arial" w:cs="Arial"/>
          <w:sz w:val="21"/>
          <w:szCs w:val="21"/>
        </w:rPr>
        <w:t xml:space="preserve"> this analysis suggests that the cumulative number of filings included in the 2019 Research File is not significantly different from what would be expected in a typical year.</w:t>
      </w:r>
      <w:r w:rsidR="00411253" w:rsidRPr="004F68FD">
        <w:rPr>
          <w:rFonts w:ascii="Arial" w:hAnsi="Arial" w:cs="Arial"/>
          <w:sz w:val="21"/>
          <w:szCs w:val="21"/>
        </w:rPr>
        <w:t xml:space="preserve"> </w:t>
      </w:r>
      <w:r w:rsidR="00621CD9" w:rsidRPr="004F68FD">
        <w:rPr>
          <w:rFonts w:ascii="Arial" w:hAnsi="Arial" w:cs="Arial"/>
          <w:sz w:val="21"/>
          <w:szCs w:val="21"/>
        </w:rPr>
        <w:t>Ultimately, EBSA did not find</w:t>
      </w:r>
      <w:r w:rsidR="00411253" w:rsidRPr="004F68FD">
        <w:rPr>
          <w:rFonts w:ascii="Arial" w:hAnsi="Arial" w:cs="Arial"/>
          <w:sz w:val="21"/>
          <w:szCs w:val="21"/>
        </w:rPr>
        <w:t xml:space="preserve"> evidence that the PHE caused major filing delays that materially impacted the statistics presented in this report.     </w:t>
      </w:r>
    </w:p>
    <w:sectPr w:rsidR="00BF7FC0" w:rsidRPr="004F68FD" w:rsidSect="006C65DB">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BCA30" w14:textId="77777777" w:rsidR="00631B3E" w:rsidRDefault="00631B3E" w:rsidP="000077DC">
      <w:r>
        <w:separator/>
      </w:r>
    </w:p>
  </w:endnote>
  <w:endnote w:type="continuationSeparator" w:id="0">
    <w:p w14:paraId="0E2A2839" w14:textId="77777777" w:rsidR="00631B3E" w:rsidRDefault="00631B3E" w:rsidP="000077DC">
      <w:r>
        <w:continuationSeparator/>
      </w:r>
    </w:p>
  </w:endnote>
  <w:endnote w:type="continuationNotice" w:id="1">
    <w:p w14:paraId="306CE191" w14:textId="77777777" w:rsidR="00631B3E" w:rsidRDefault="00631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8030D" w14:textId="77777777" w:rsidR="00631B3E" w:rsidRDefault="00631B3E" w:rsidP="000077DC">
      <w:r>
        <w:separator/>
      </w:r>
    </w:p>
  </w:footnote>
  <w:footnote w:type="continuationSeparator" w:id="0">
    <w:p w14:paraId="3A3663B6" w14:textId="77777777" w:rsidR="00631B3E" w:rsidRDefault="00631B3E" w:rsidP="000077DC">
      <w:r>
        <w:continuationSeparator/>
      </w:r>
    </w:p>
  </w:footnote>
  <w:footnote w:type="continuationNotice" w:id="1">
    <w:p w14:paraId="23B6E2DF" w14:textId="77777777" w:rsidR="00631B3E" w:rsidRDefault="00631B3E"/>
  </w:footnote>
  <w:footnote w:id="2">
    <w:p w14:paraId="5C5085E5" w14:textId="77777777" w:rsidR="00EC38EB" w:rsidRPr="00393E20" w:rsidRDefault="00EC38EB" w:rsidP="0032333C">
      <w:pPr>
        <w:pStyle w:val="FootnoteText"/>
        <w:rPr>
          <w:rFonts w:ascii="Arial" w:hAnsi="Arial" w:cs="Arial"/>
          <w:sz w:val="16"/>
          <w:szCs w:val="16"/>
        </w:rPr>
      </w:pPr>
      <w:r w:rsidRPr="00393E20">
        <w:rPr>
          <w:rStyle w:val="FootnoteReference"/>
          <w:rFonts w:ascii="Arial" w:hAnsi="Arial" w:cs="Arial"/>
          <w:sz w:val="16"/>
          <w:szCs w:val="16"/>
        </w:rPr>
        <w:footnoteRef/>
      </w:r>
      <w:r w:rsidRPr="00393E20">
        <w:rPr>
          <w:rFonts w:ascii="Arial" w:hAnsi="Arial" w:cs="Arial"/>
          <w:sz w:val="16"/>
          <w:szCs w:val="16"/>
        </w:rPr>
        <w:t xml:space="preserve"> </w:t>
      </w:r>
      <w:r w:rsidRPr="00393E20">
        <w:rPr>
          <w:rFonts w:ascii="Arial" w:hAnsi="Arial" w:cs="Arial"/>
          <w:i/>
          <w:iCs/>
          <w:sz w:val="16"/>
          <w:szCs w:val="16"/>
        </w:rPr>
        <w:t>Instructions for the Form 5500</w:t>
      </w:r>
      <w:r w:rsidRPr="00393E20">
        <w:rPr>
          <w:rFonts w:ascii="Arial" w:hAnsi="Arial" w:cs="Arial"/>
          <w:sz w:val="16"/>
          <w:szCs w:val="16"/>
        </w:rPr>
        <w:t xml:space="preserve">, U.S. Department of Labor (2019), </w:t>
      </w:r>
      <w:hyperlink r:id="rId1" w:history="1">
        <w:r w:rsidRPr="00393E20">
          <w:rPr>
            <w:rStyle w:val="Hyperlink"/>
            <w:rFonts w:ascii="Arial" w:hAnsi="Arial" w:cs="Arial"/>
            <w:sz w:val="16"/>
            <w:szCs w:val="16"/>
          </w:rPr>
          <w:t>https://www.dol.gov/sites/dolgov/files/EBSA/employers-and-advisers/plan-administration-and-compliance/reporting-and-filing/form-5500/2019-instructions.pdf</w:t>
        </w:r>
      </w:hyperlink>
      <w:r w:rsidRPr="00393E20">
        <w:rPr>
          <w:rFonts w:ascii="Arial" w:hAnsi="Arial" w:cs="Arial"/>
          <w:sz w:val="16"/>
          <w:szCs w:val="16"/>
        </w:rPr>
        <w:t>.</w:t>
      </w:r>
    </w:p>
  </w:footnote>
  <w:footnote w:id="3">
    <w:p w14:paraId="67CC20E0" w14:textId="77777777" w:rsidR="00EC38EB" w:rsidRPr="009D0B3A" w:rsidRDefault="00EC38EB" w:rsidP="0032333C">
      <w:pPr>
        <w:pStyle w:val="FootnoteText"/>
        <w:rPr>
          <w:rFonts w:ascii="Arial" w:hAnsi="Arial" w:cs="Arial"/>
        </w:rPr>
      </w:pPr>
      <w:r w:rsidRPr="00393E20">
        <w:rPr>
          <w:rStyle w:val="FootnoteReference"/>
          <w:rFonts w:ascii="Arial" w:hAnsi="Arial" w:cs="Arial"/>
          <w:sz w:val="16"/>
          <w:szCs w:val="16"/>
        </w:rPr>
        <w:footnoteRef/>
      </w:r>
      <w:r w:rsidRPr="00393E20">
        <w:rPr>
          <w:rFonts w:ascii="Arial" w:hAnsi="Arial" w:cs="Arial"/>
          <w:sz w:val="16"/>
          <w:szCs w:val="16"/>
        </w:rPr>
        <w:t xml:space="preserve"> </w:t>
      </w:r>
      <w:r w:rsidRPr="00393E20">
        <w:rPr>
          <w:rFonts w:ascii="Arial" w:hAnsi="Arial" w:cs="Arial"/>
          <w:i/>
          <w:iCs/>
          <w:sz w:val="16"/>
          <w:szCs w:val="16"/>
        </w:rPr>
        <w:t>Id.</w:t>
      </w:r>
    </w:p>
  </w:footnote>
  <w:footnote w:id="4">
    <w:p w14:paraId="29F8FEA8" w14:textId="5E51DC51" w:rsidR="005E26FA" w:rsidRPr="00393E20" w:rsidRDefault="005E26FA">
      <w:pPr>
        <w:pStyle w:val="FootnoteText"/>
        <w:rPr>
          <w:rFonts w:ascii="Arial" w:hAnsi="Arial" w:cs="Arial"/>
          <w:sz w:val="16"/>
          <w:szCs w:val="16"/>
        </w:rPr>
      </w:pPr>
      <w:r w:rsidRPr="00393E20">
        <w:rPr>
          <w:rStyle w:val="FootnoteReference"/>
          <w:rFonts w:ascii="Arial" w:hAnsi="Arial" w:cs="Arial"/>
          <w:sz w:val="16"/>
          <w:szCs w:val="16"/>
        </w:rPr>
        <w:footnoteRef/>
      </w:r>
      <w:r w:rsidRPr="00393E20">
        <w:rPr>
          <w:rFonts w:ascii="Arial" w:hAnsi="Arial" w:cs="Arial"/>
          <w:sz w:val="16"/>
          <w:szCs w:val="16"/>
        </w:rPr>
        <w:t xml:space="preserve"> </w:t>
      </w:r>
      <w:r w:rsidR="00FF72B5" w:rsidRPr="00BB5740">
        <w:rPr>
          <w:rFonts w:ascii="Arial" w:hAnsi="Arial" w:cs="Arial"/>
          <w:sz w:val="16"/>
          <w:szCs w:val="16"/>
        </w:rPr>
        <w:t xml:space="preserve">See Treasury Regulations under Internal Revenue Code § 7508A and Section 8 of Rev. Proc. 2018-58, 2018-50 I.R.B. 990 and </w:t>
      </w:r>
      <w:r w:rsidR="00FF72B5">
        <w:rPr>
          <w:rFonts w:ascii="Arial" w:hAnsi="Arial" w:cs="Arial"/>
          <w:sz w:val="16"/>
          <w:szCs w:val="16"/>
        </w:rPr>
        <w:t>“</w:t>
      </w:r>
      <w:r w:rsidR="00FF72B5" w:rsidRPr="00BB5740">
        <w:rPr>
          <w:rFonts w:ascii="Arial" w:hAnsi="Arial" w:cs="Arial"/>
          <w:sz w:val="16"/>
          <w:szCs w:val="16"/>
        </w:rPr>
        <w:t xml:space="preserve">IRS Notice 2020-23 </w:t>
      </w:r>
      <w:r w:rsidR="00FF72B5">
        <w:rPr>
          <w:rFonts w:ascii="Arial" w:hAnsi="Arial" w:cs="Arial"/>
          <w:sz w:val="16"/>
          <w:szCs w:val="16"/>
        </w:rPr>
        <w:t>“</w:t>
      </w:r>
      <w:r w:rsidR="00FF72B5" w:rsidRPr="00BB5740">
        <w:rPr>
          <w:rFonts w:ascii="Arial" w:hAnsi="Arial" w:cs="Arial"/>
          <w:sz w:val="16"/>
          <w:szCs w:val="16"/>
        </w:rPr>
        <w:t>Update to Notice 2020-18, Additional Relief for Taxpayers Affected by Ongoing Coronavirus Disease 2019</w:t>
      </w:r>
      <w:r w:rsidR="00FF72B5">
        <w:rPr>
          <w:rFonts w:ascii="Arial" w:hAnsi="Arial" w:cs="Arial"/>
          <w:sz w:val="16"/>
          <w:szCs w:val="16"/>
        </w:rPr>
        <w:t>”</w:t>
      </w:r>
      <w:r w:rsidR="00FF72B5" w:rsidRPr="00393E20">
        <w:rPr>
          <w:rFonts w:ascii="Arial" w:hAnsi="Arial" w:cs="Arial"/>
          <w:sz w:val="16"/>
          <w:szCs w:val="16"/>
        </w:rPr>
        <w:t xml:space="preserve"> at </w:t>
      </w:r>
      <w:hyperlink r:id="rId2" w:history="1">
        <w:r w:rsidR="00FF72B5" w:rsidRPr="00BB5740">
          <w:rPr>
            <w:rStyle w:val="Hyperlink"/>
            <w:rFonts w:ascii="Arial" w:hAnsi="Arial" w:cs="Arial"/>
            <w:sz w:val="16"/>
            <w:szCs w:val="16"/>
          </w:rPr>
          <w:t>https://www.irs.gov/pub/irs-drop/n-20-23.pdf</w:t>
        </w:r>
      </w:hyperlink>
      <w:r w:rsidR="00FF72B5">
        <w:rPr>
          <w:rFonts w:ascii="Arial" w:hAnsi="Arial" w:cs="Arial"/>
          <w:sz w:val="16"/>
          <w:szCs w:val="16"/>
        </w:rPr>
        <w:t>.</w:t>
      </w:r>
    </w:p>
  </w:footnote>
  <w:footnote w:id="5">
    <w:p w14:paraId="077CD6F8" w14:textId="7FAA32DA" w:rsidR="0021623A" w:rsidRPr="0021623A" w:rsidRDefault="0021623A">
      <w:pPr>
        <w:pStyle w:val="FootnoteText"/>
        <w:rPr>
          <w:rFonts w:ascii="Arial" w:hAnsi="Arial" w:cs="Arial"/>
          <w:sz w:val="18"/>
          <w:szCs w:val="18"/>
        </w:rPr>
      </w:pPr>
      <w:r w:rsidRPr="00393E20">
        <w:rPr>
          <w:rStyle w:val="FootnoteReference"/>
          <w:rFonts w:ascii="Arial" w:hAnsi="Arial" w:cs="Arial"/>
          <w:sz w:val="16"/>
          <w:szCs w:val="16"/>
        </w:rPr>
        <w:footnoteRef/>
      </w:r>
      <w:r w:rsidRPr="00393E20">
        <w:rPr>
          <w:rFonts w:ascii="Arial" w:hAnsi="Arial" w:cs="Arial"/>
          <w:sz w:val="16"/>
          <w:szCs w:val="16"/>
        </w:rPr>
        <w:t xml:space="preserve"> EBSA also c</w:t>
      </w:r>
      <w:r w:rsidR="00621CD9" w:rsidRPr="00393E20">
        <w:rPr>
          <w:rFonts w:ascii="Arial" w:hAnsi="Arial" w:cs="Arial"/>
          <w:sz w:val="16"/>
          <w:szCs w:val="16"/>
        </w:rPr>
        <w:t>ompared against</w:t>
      </w:r>
      <w:r w:rsidRPr="00393E20">
        <w:rPr>
          <w:rFonts w:ascii="Arial" w:hAnsi="Arial" w:cs="Arial"/>
          <w:sz w:val="16"/>
          <w:szCs w:val="16"/>
        </w:rPr>
        <w:t xml:space="preserve"> 5-year (2014-2018) and 9-year (2010-2018) average expected filing patterns, and the results were similar.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104B1"/>
    <w:rsid w:val="00011897"/>
    <w:rsid w:val="000200AC"/>
    <w:rsid w:val="00021FDF"/>
    <w:rsid w:val="00033D35"/>
    <w:rsid w:val="000576A4"/>
    <w:rsid w:val="00061BCF"/>
    <w:rsid w:val="00062C5D"/>
    <w:rsid w:val="000A7920"/>
    <w:rsid w:val="000B1906"/>
    <w:rsid w:val="000B38EC"/>
    <w:rsid w:val="000B5716"/>
    <w:rsid w:val="000B58D1"/>
    <w:rsid w:val="000B5CB3"/>
    <w:rsid w:val="000C154E"/>
    <w:rsid w:val="000C1FB7"/>
    <w:rsid w:val="000D26CC"/>
    <w:rsid w:val="000D4A52"/>
    <w:rsid w:val="000E5D54"/>
    <w:rsid w:val="000F49D7"/>
    <w:rsid w:val="0011054E"/>
    <w:rsid w:val="0011247E"/>
    <w:rsid w:val="00125162"/>
    <w:rsid w:val="001257FE"/>
    <w:rsid w:val="0012582C"/>
    <w:rsid w:val="00125FCF"/>
    <w:rsid w:val="00155F67"/>
    <w:rsid w:val="00171F83"/>
    <w:rsid w:val="00172AD0"/>
    <w:rsid w:val="00173D11"/>
    <w:rsid w:val="00176515"/>
    <w:rsid w:val="001A0873"/>
    <w:rsid w:val="001E48D1"/>
    <w:rsid w:val="001F4570"/>
    <w:rsid w:val="0020116D"/>
    <w:rsid w:val="00202555"/>
    <w:rsid w:val="002122C2"/>
    <w:rsid w:val="00214952"/>
    <w:rsid w:val="00216003"/>
    <w:rsid w:val="0021623A"/>
    <w:rsid w:val="002301A5"/>
    <w:rsid w:val="002340F9"/>
    <w:rsid w:val="002463C8"/>
    <w:rsid w:val="00246CC3"/>
    <w:rsid w:val="002721C1"/>
    <w:rsid w:val="00277D83"/>
    <w:rsid w:val="00291885"/>
    <w:rsid w:val="002A36C7"/>
    <w:rsid w:val="002B1A03"/>
    <w:rsid w:val="002D25FE"/>
    <w:rsid w:val="002D7FBA"/>
    <w:rsid w:val="003006F9"/>
    <w:rsid w:val="00302F8E"/>
    <w:rsid w:val="00305DA6"/>
    <w:rsid w:val="0032333C"/>
    <w:rsid w:val="00363953"/>
    <w:rsid w:val="00374970"/>
    <w:rsid w:val="0037641D"/>
    <w:rsid w:val="00387CA1"/>
    <w:rsid w:val="00393DA3"/>
    <w:rsid w:val="00393E20"/>
    <w:rsid w:val="003A0E72"/>
    <w:rsid w:val="003A235F"/>
    <w:rsid w:val="003D49D9"/>
    <w:rsid w:val="003E7666"/>
    <w:rsid w:val="003F0CF9"/>
    <w:rsid w:val="003F41FF"/>
    <w:rsid w:val="003F6548"/>
    <w:rsid w:val="003F7192"/>
    <w:rsid w:val="004008E5"/>
    <w:rsid w:val="00411253"/>
    <w:rsid w:val="00423DC9"/>
    <w:rsid w:val="00434D15"/>
    <w:rsid w:val="00443E25"/>
    <w:rsid w:val="0045359A"/>
    <w:rsid w:val="00454997"/>
    <w:rsid w:val="0047512D"/>
    <w:rsid w:val="00476EA4"/>
    <w:rsid w:val="00480324"/>
    <w:rsid w:val="00485F89"/>
    <w:rsid w:val="0048615A"/>
    <w:rsid w:val="00487C16"/>
    <w:rsid w:val="00494CBD"/>
    <w:rsid w:val="004A3CA6"/>
    <w:rsid w:val="004B0782"/>
    <w:rsid w:val="004D0D3D"/>
    <w:rsid w:val="004D145D"/>
    <w:rsid w:val="004D1DE2"/>
    <w:rsid w:val="004E1EE4"/>
    <w:rsid w:val="004F68FD"/>
    <w:rsid w:val="004F70B7"/>
    <w:rsid w:val="004F7F27"/>
    <w:rsid w:val="00500F78"/>
    <w:rsid w:val="00504434"/>
    <w:rsid w:val="005054EC"/>
    <w:rsid w:val="005261EB"/>
    <w:rsid w:val="005407D7"/>
    <w:rsid w:val="00540FEE"/>
    <w:rsid w:val="005440FC"/>
    <w:rsid w:val="00551359"/>
    <w:rsid w:val="00564348"/>
    <w:rsid w:val="00567AA3"/>
    <w:rsid w:val="00573E03"/>
    <w:rsid w:val="00584322"/>
    <w:rsid w:val="00590FF0"/>
    <w:rsid w:val="005B5210"/>
    <w:rsid w:val="005E26FA"/>
    <w:rsid w:val="005E48EF"/>
    <w:rsid w:val="00617CDB"/>
    <w:rsid w:val="00621A74"/>
    <w:rsid w:val="00621CD9"/>
    <w:rsid w:val="0062303B"/>
    <w:rsid w:val="00631B3E"/>
    <w:rsid w:val="00632C6D"/>
    <w:rsid w:val="00633260"/>
    <w:rsid w:val="0064558D"/>
    <w:rsid w:val="0064736B"/>
    <w:rsid w:val="00667080"/>
    <w:rsid w:val="00680E5A"/>
    <w:rsid w:val="00692F9E"/>
    <w:rsid w:val="006B4A5E"/>
    <w:rsid w:val="006C65DB"/>
    <w:rsid w:val="006D0E36"/>
    <w:rsid w:val="006D676A"/>
    <w:rsid w:val="006E583D"/>
    <w:rsid w:val="00700B6E"/>
    <w:rsid w:val="00702512"/>
    <w:rsid w:val="007216CA"/>
    <w:rsid w:val="00726252"/>
    <w:rsid w:val="00736FE1"/>
    <w:rsid w:val="00747127"/>
    <w:rsid w:val="00773B20"/>
    <w:rsid w:val="00781657"/>
    <w:rsid w:val="00782F5B"/>
    <w:rsid w:val="007B5D90"/>
    <w:rsid w:val="007B7AB1"/>
    <w:rsid w:val="007B7FE8"/>
    <w:rsid w:val="007D0326"/>
    <w:rsid w:val="007D31B3"/>
    <w:rsid w:val="007E28B4"/>
    <w:rsid w:val="00802F7F"/>
    <w:rsid w:val="00803F50"/>
    <w:rsid w:val="0080582C"/>
    <w:rsid w:val="00806722"/>
    <w:rsid w:val="008110A0"/>
    <w:rsid w:val="008258A6"/>
    <w:rsid w:val="008550A5"/>
    <w:rsid w:val="008575B2"/>
    <w:rsid w:val="00862E86"/>
    <w:rsid w:val="0087374A"/>
    <w:rsid w:val="008807B3"/>
    <w:rsid w:val="00883E5C"/>
    <w:rsid w:val="00884CDB"/>
    <w:rsid w:val="008A27C9"/>
    <w:rsid w:val="008A35D1"/>
    <w:rsid w:val="008A6789"/>
    <w:rsid w:val="008B05E4"/>
    <w:rsid w:val="008D7021"/>
    <w:rsid w:val="008E3439"/>
    <w:rsid w:val="008F2915"/>
    <w:rsid w:val="009054A6"/>
    <w:rsid w:val="00910042"/>
    <w:rsid w:val="00921F80"/>
    <w:rsid w:val="009402E9"/>
    <w:rsid w:val="00975087"/>
    <w:rsid w:val="00986465"/>
    <w:rsid w:val="009B78DF"/>
    <w:rsid w:val="009C15C3"/>
    <w:rsid w:val="009C5806"/>
    <w:rsid w:val="009D0B3A"/>
    <w:rsid w:val="00A20674"/>
    <w:rsid w:val="00A225E5"/>
    <w:rsid w:val="00A30D70"/>
    <w:rsid w:val="00A46975"/>
    <w:rsid w:val="00A528F9"/>
    <w:rsid w:val="00A7048F"/>
    <w:rsid w:val="00A76E66"/>
    <w:rsid w:val="00A84964"/>
    <w:rsid w:val="00A946FB"/>
    <w:rsid w:val="00AA5B1A"/>
    <w:rsid w:val="00AC552B"/>
    <w:rsid w:val="00AE1613"/>
    <w:rsid w:val="00AF34D3"/>
    <w:rsid w:val="00AF473C"/>
    <w:rsid w:val="00AF700F"/>
    <w:rsid w:val="00AF7BF2"/>
    <w:rsid w:val="00B00E05"/>
    <w:rsid w:val="00B066CF"/>
    <w:rsid w:val="00B13C32"/>
    <w:rsid w:val="00B263CC"/>
    <w:rsid w:val="00B407BE"/>
    <w:rsid w:val="00B634D9"/>
    <w:rsid w:val="00B84E89"/>
    <w:rsid w:val="00B856CB"/>
    <w:rsid w:val="00B85CA1"/>
    <w:rsid w:val="00BB6487"/>
    <w:rsid w:val="00BC2C7B"/>
    <w:rsid w:val="00BD2E6B"/>
    <w:rsid w:val="00BD6291"/>
    <w:rsid w:val="00BE70A4"/>
    <w:rsid w:val="00BF07B6"/>
    <w:rsid w:val="00BF7AC7"/>
    <w:rsid w:val="00BF7FC0"/>
    <w:rsid w:val="00C06244"/>
    <w:rsid w:val="00C078E1"/>
    <w:rsid w:val="00C07C10"/>
    <w:rsid w:val="00C13131"/>
    <w:rsid w:val="00C15D5F"/>
    <w:rsid w:val="00C21202"/>
    <w:rsid w:val="00C24457"/>
    <w:rsid w:val="00C34E7E"/>
    <w:rsid w:val="00C46C67"/>
    <w:rsid w:val="00C5223F"/>
    <w:rsid w:val="00C56125"/>
    <w:rsid w:val="00C562B2"/>
    <w:rsid w:val="00C6058F"/>
    <w:rsid w:val="00C60BF1"/>
    <w:rsid w:val="00C65A86"/>
    <w:rsid w:val="00C65CAE"/>
    <w:rsid w:val="00C67985"/>
    <w:rsid w:val="00C70182"/>
    <w:rsid w:val="00C7365F"/>
    <w:rsid w:val="00C860A0"/>
    <w:rsid w:val="00C862E3"/>
    <w:rsid w:val="00C86331"/>
    <w:rsid w:val="00CA0841"/>
    <w:rsid w:val="00CB03A6"/>
    <w:rsid w:val="00CC5203"/>
    <w:rsid w:val="00CD61A1"/>
    <w:rsid w:val="00CE537E"/>
    <w:rsid w:val="00CF35C3"/>
    <w:rsid w:val="00D00C7D"/>
    <w:rsid w:val="00D05FCD"/>
    <w:rsid w:val="00D12579"/>
    <w:rsid w:val="00D2650C"/>
    <w:rsid w:val="00D358D8"/>
    <w:rsid w:val="00D56C4F"/>
    <w:rsid w:val="00D57F5C"/>
    <w:rsid w:val="00D60F4A"/>
    <w:rsid w:val="00D61712"/>
    <w:rsid w:val="00D61BCB"/>
    <w:rsid w:val="00D6227D"/>
    <w:rsid w:val="00D64780"/>
    <w:rsid w:val="00D8477D"/>
    <w:rsid w:val="00D914CB"/>
    <w:rsid w:val="00D9251D"/>
    <w:rsid w:val="00DA01AC"/>
    <w:rsid w:val="00DA285F"/>
    <w:rsid w:val="00DB7337"/>
    <w:rsid w:val="00DC60E3"/>
    <w:rsid w:val="00DC695B"/>
    <w:rsid w:val="00DD478B"/>
    <w:rsid w:val="00DD78E6"/>
    <w:rsid w:val="00DE58A2"/>
    <w:rsid w:val="00DE5C18"/>
    <w:rsid w:val="00E07CAD"/>
    <w:rsid w:val="00E10473"/>
    <w:rsid w:val="00E20238"/>
    <w:rsid w:val="00E2190C"/>
    <w:rsid w:val="00E222E0"/>
    <w:rsid w:val="00E2566A"/>
    <w:rsid w:val="00E27CBB"/>
    <w:rsid w:val="00E3229D"/>
    <w:rsid w:val="00E3600D"/>
    <w:rsid w:val="00E45D07"/>
    <w:rsid w:val="00E61196"/>
    <w:rsid w:val="00E63E8E"/>
    <w:rsid w:val="00E76190"/>
    <w:rsid w:val="00E77BF6"/>
    <w:rsid w:val="00E80AF3"/>
    <w:rsid w:val="00E978BB"/>
    <w:rsid w:val="00EA07F1"/>
    <w:rsid w:val="00EA211D"/>
    <w:rsid w:val="00EA4E4B"/>
    <w:rsid w:val="00EB0160"/>
    <w:rsid w:val="00EB28C6"/>
    <w:rsid w:val="00EB58D1"/>
    <w:rsid w:val="00EC133E"/>
    <w:rsid w:val="00EC38EB"/>
    <w:rsid w:val="00EC5DB9"/>
    <w:rsid w:val="00EC72F9"/>
    <w:rsid w:val="00ED1902"/>
    <w:rsid w:val="00EE0227"/>
    <w:rsid w:val="00EF2E63"/>
    <w:rsid w:val="00EF69DC"/>
    <w:rsid w:val="00F0206F"/>
    <w:rsid w:val="00F4581B"/>
    <w:rsid w:val="00F46FE6"/>
    <w:rsid w:val="00F71C36"/>
    <w:rsid w:val="00F73FF7"/>
    <w:rsid w:val="00F77319"/>
    <w:rsid w:val="00F8087B"/>
    <w:rsid w:val="00F90989"/>
    <w:rsid w:val="00F91516"/>
    <w:rsid w:val="00F944D4"/>
    <w:rsid w:val="00FB300E"/>
    <w:rsid w:val="00FC6BB3"/>
    <w:rsid w:val="00FE364E"/>
    <w:rsid w:val="00FF44E4"/>
    <w:rsid w:val="00FF7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7816"/>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semiHidden/>
    <w:rsid w:val="000077DC"/>
    <w:rPr>
      <w:sz w:val="20"/>
      <w:szCs w:val="20"/>
    </w:rPr>
  </w:style>
  <w:style w:type="character" w:customStyle="1" w:styleId="FootnoteTextChar">
    <w:name w:val="Footnote Text Char"/>
    <w:basedOn w:val="DefaultParagraphFont"/>
    <w:link w:val="FootnoteText"/>
    <w:uiPriority w:val="99"/>
    <w:semiHidden/>
    <w:rsid w:val="000077DC"/>
    <w:rPr>
      <w:rFonts w:ascii="Times New Roman" w:eastAsia="Times New Roman" w:hAnsi="Times New Roman" w:cs="Times New Roman"/>
      <w:sz w:val="20"/>
      <w:szCs w:val="20"/>
    </w:rPr>
  </w:style>
  <w:style w:type="character" w:styleId="FootnoteReference">
    <w:name w:val="footnote reference"/>
    <w:uiPriority w:val="99"/>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EA4E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61196"/>
    <w:rPr>
      <w:color w:val="605E5C"/>
      <w:shd w:val="clear" w:color="auto" w:fill="E1DFDD"/>
    </w:rPr>
  </w:style>
  <w:style w:type="paragraph" w:customStyle="1" w:styleId="FigureREB">
    <w:name w:val="Figure_REB"/>
    <w:basedOn w:val="Normal"/>
    <w:qFormat/>
    <w:rsid w:val="008A6789"/>
    <w:pPr>
      <w:jc w:val="center"/>
    </w:pPr>
    <w:rPr>
      <w:rFonts w:ascii="Arial" w:hAnsi="Arial" w:cs="Arial"/>
      <w:b/>
      <w:color w:val="000000"/>
      <w:sz w:val="20"/>
      <w:szCs w:val="16"/>
    </w:rPr>
  </w:style>
  <w:style w:type="character" w:customStyle="1" w:styleId="UnresolvedMention2">
    <w:name w:val="Unresolved Mention2"/>
    <w:basedOn w:val="DefaultParagraphFont"/>
    <w:uiPriority w:val="99"/>
    <w:semiHidden/>
    <w:unhideWhenUsed/>
    <w:rsid w:val="00C70182"/>
    <w:rPr>
      <w:color w:val="605E5C"/>
      <w:shd w:val="clear" w:color="auto" w:fill="E1DFDD"/>
    </w:rPr>
  </w:style>
  <w:style w:type="paragraph" w:styleId="Header">
    <w:name w:val="header"/>
    <w:basedOn w:val="Normal"/>
    <w:link w:val="HeaderChar"/>
    <w:uiPriority w:val="99"/>
    <w:semiHidden/>
    <w:unhideWhenUsed/>
    <w:rsid w:val="009054A6"/>
    <w:pPr>
      <w:tabs>
        <w:tab w:val="center" w:pos="4680"/>
        <w:tab w:val="right" w:pos="9360"/>
      </w:tabs>
    </w:pPr>
  </w:style>
  <w:style w:type="character" w:customStyle="1" w:styleId="HeaderChar">
    <w:name w:val="Header Char"/>
    <w:basedOn w:val="DefaultParagraphFont"/>
    <w:link w:val="Header"/>
    <w:uiPriority w:val="99"/>
    <w:semiHidden/>
    <w:rsid w:val="009054A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54A6"/>
    <w:pPr>
      <w:tabs>
        <w:tab w:val="center" w:pos="4680"/>
        <w:tab w:val="right" w:pos="9360"/>
      </w:tabs>
    </w:pPr>
  </w:style>
  <w:style w:type="character" w:customStyle="1" w:styleId="FooterChar">
    <w:name w:val="Footer Char"/>
    <w:basedOn w:val="DefaultParagraphFont"/>
    <w:link w:val="Footer"/>
    <w:uiPriority w:val="99"/>
    <w:semiHidden/>
    <w:rsid w:val="009054A6"/>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17CDB"/>
    <w:rPr>
      <w:color w:val="605E5C"/>
      <w:shd w:val="clear" w:color="auto" w:fill="E1DFDD"/>
    </w:rPr>
  </w:style>
  <w:style w:type="paragraph" w:styleId="NormalWeb">
    <w:name w:val="Normal (Web)"/>
    <w:basedOn w:val="Normal"/>
    <w:uiPriority w:val="99"/>
    <w:semiHidden/>
    <w:unhideWhenUsed/>
    <w:rsid w:val="001765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269">
      <w:bodyDiv w:val="1"/>
      <w:marLeft w:val="0"/>
      <w:marRight w:val="0"/>
      <w:marTop w:val="0"/>
      <w:marBottom w:val="0"/>
      <w:divBdr>
        <w:top w:val="none" w:sz="0" w:space="0" w:color="auto"/>
        <w:left w:val="none" w:sz="0" w:space="0" w:color="auto"/>
        <w:bottom w:val="none" w:sz="0" w:space="0" w:color="auto"/>
        <w:right w:val="none" w:sz="0" w:space="0" w:color="auto"/>
      </w:divBdr>
    </w:div>
    <w:div w:id="227149684">
      <w:bodyDiv w:val="1"/>
      <w:marLeft w:val="0"/>
      <w:marRight w:val="0"/>
      <w:marTop w:val="0"/>
      <w:marBottom w:val="0"/>
      <w:divBdr>
        <w:top w:val="none" w:sz="0" w:space="0" w:color="auto"/>
        <w:left w:val="none" w:sz="0" w:space="0" w:color="auto"/>
        <w:bottom w:val="none" w:sz="0" w:space="0" w:color="auto"/>
        <w:right w:val="none" w:sz="0" w:space="0" w:color="auto"/>
      </w:divBdr>
    </w:div>
    <w:div w:id="233207030">
      <w:bodyDiv w:val="1"/>
      <w:marLeft w:val="0"/>
      <w:marRight w:val="0"/>
      <w:marTop w:val="0"/>
      <w:marBottom w:val="0"/>
      <w:divBdr>
        <w:top w:val="none" w:sz="0" w:space="0" w:color="auto"/>
        <w:left w:val="none" w:sz="0" w:space="0" w:color="auto"/>
        <w:bottom w:val="none" w:sz="0" w:space="0" w:color="auto"/>
        <w:right w:val="none" w:sz="0" w:space="0" w:color="auto"/>
      </w:divBdr>
    </w:div>
    <w:div w:id="261188932">
      <w:bodyDiv w:val="1"/>
      <w:marLeft w:val="0"/>
      <w:marRight w:val="0"/>
      <w:marTop w:val="0"/>
      <w:marBottom w:val="0"/>
      <w:divBdr>
        <w:top w:val="none" w:sz="0" w:space="0" w:color="auto"/>
        <w:left w:val="none" w:sz="0" w:space="0" w:color="auto"/>
        <w:bottom w:val="none" w:sz="0" w:space="0" w:color="auto"/>
        <w:right w:val="none" w:sz="0" w:space="0" w:color="auto"/>
      </w:divBdr>
    </w:div>
    <w:div w:id="399326440">
      <w:bodyDiv w:val="1"/>
      <w:marLeft w:val="0"/>
      <w:marRight w:val="0"/>
      <w:marTop w:val="0"/>
      <w:marBottom w:val="0"/>
      <w:divBdr>
        <w:top w:val="none" w:sz="0" w:space="0" w:color="auto"/>
        <w:left w:val="none" w:sz="0" w:space="0" w:color="auto"/>
        <w:bottom w:val="none" w:sz="0" w:space="0" w:color="auto"/>
        <w:right w:val="none" w:sz="0" w:space="0" w:color="auto"/>
      </w:divBdr>
    </w:div>
    <w:div w:id="429664522">
      <w:bodyDiv w:val="1"/>
      <w:marLeft w:val="0"/>
      <w:marRight w:val="0"/>
      <w:marTop w:val="0"/>
      <w:marBottom w:val="0"/>
      <w:divBdr>
        <w:top w:val="none" w:sz="0" w:space="0" w:color="auto"/>
        <w:left w:val="none" w:sz="0" w:space="0" w:color="auto"/>
        <w:bottom w:val="none" w:sz="0" w:space="0" w:color="auto"/>
        <w:right w:val="none" w:sz="0" w:space="0" w:color="auto"/>
      </w:divBdr>
    </w:div>
    <w:div w:id="476069800">
      <w:bodyDiv w:val="1"/>
      <w:marLeft w:val="0"/>
      <w:marRight w:val="0"/>
      <w:marTop w:val="0"/>
      <w:marBottom w:val="0"/>
      <w:divBdr>
        <w:top w:val="none" w:sz="0" w:space="0" w:color="auto"/>
        <w:left w:val="none" w:sz="0" w:space="0" w:color="auto"/>
        <w:bottom w:val="none" w:sz="0" w:space="0" w:color="auto"/>
        <w:right w:val="none" w:sz="0" w:space="0" w:color="auto"/>
      </w:divBdr>
    </w:div>
    <w:div w:id="516306596">
      <w:bodyDiv w:val="1"/>
      <w:marLeft w:val="0"/>
      <w:marRight w:val="0"/>
      <w:marTop w:val="0"/>
      <w:marBottom w:val="0"/>
      <w:divBdr>
        <w:top w:val="none" w:sz="0" w:space="0" w:color="auto"/>
        <w:left w:val="none" w:sz="0" w:space="0" w:color="auto"/>
        <w:bottom w:val="none" w:sz="0" w:space="0" w:color="auto"/>
        <w:right w:val="none" w:sz="0" w:space="0" w:color="auto"/>
      </w:divBdr>
    </w:div>
    <w:div w:id="528376188">
      <w:bodyDiv w:val="1"/>
      <w:marLeft w:val="0"/>
      <w:marRight w:val="0"/>
      <w:marTop w:val="0"/>
      <w:marBottom w:val="0"/>
      <w:divBdr>
        <w:top w:val="none" w:sz="0" w:space="0" w:color="auto"/>
        <w:left w:val="none" w:sz="0" w:space="0" w:color="auto"/>
        <w:bottom w:val="none" w:sz="0" w:space="0" w:color="auto"/>
        <w:right w:val="none" w:sz="0" w:space="0" w:color="auto"/>
      </w:divBdr>
    </w:div>
    <w:div w:id="762336550">
      <w:bodyDiv w:val="1"/>
      <w:marLeft w:val="0"/>
      <w:marRight w:val="0"/>
      <w:marTop w:val="0"/>
      <w:marBottom w:val="0"/>
      <w:divBdr>
        <w:top w:val="none" w:sz="0" w:space="0" w:color="auto"/>
        <w:left w:val="none" w:sz="0" w:space="0" w:color="auto"/>
        <w:bottom w:val="none" w:sz="0" w:space="0" w:color="auto"/>
        <w:right w:val="none" w:sz="0" w:space="0" w:color="auto"/>
      </w:divBdr>
    </w:div>
    <w:div w:id="833839604">
      <w:bodyDiv w:val="1"/>
      <w:marLeft w:val="0"/>
      <w:marRight w:val="0"/>
      <w:marTop w:val="0"/>
      <w:marBottom w:val="0"/>
      <w:divBdr>
        <w:top w:val="none" w:sz="0" w:space="0" w:color="auto"/>
        <w:left w:val="none" w:sz="0" w:space="0" w:color="auto"/>
        <w:bottom w:val="none" w:sz="0" w:space="0" w:color="auto"/>
        <w:right w:val="none" w:sz="0" w:space="0" w:color="auto"/>
      </w:divBdr>
    </w:div>
    <w:div w:id="857501192">
      <w:bodyDiv w:val="1"/>
      <w:marLeft w:val="0"/>
      <w:marRight w:val="0"/>
      <w:marTop w:val="0"/>
      <w:marBottom w:val="0"/>
      <w:divBdr>
        <w:top w:val="none" w:sz="0" w:space="0" w:color="auto"/>
        <w:left w:val="none" w:sz="0" w:space="0" w:color="auto"/>
        <w:bottom w:val="none" w:sz="0" w:space="0" w:color="auto"/>
        <w:right w:val="none" w:sz="0" w:space="0" w:color="auto"/>
      </w:divBdr>
    </w:div>
    <w:div w:id="908734769">
      <w:bodyDiv w:val="1"/>
      <w:marLeft w:val="0"/>
      <w:marRight w:val="0"/>
      <w:marTop w:val="0"/>
      <w:marBottom w:val="0"/>
      <w:divBdr>
        <w:top w:val="none" w:sz="0" w:space="0" w:color="auto"/>
        <w:left w:val="none" w:sz="0" w:space="0" w:color="auto"/>
        <w:bottom w:val="none" w:sz="0" w:space="0" w:color="auto"/>
        <w:right w:val="none" w:sz="0" w:space="0" w:color="auto"/>
      </w:divBdr>
    </w:div>
    <w:div w:id="931284143">
      <w:bodyDiv w:val="1"/>
      <w:marLeft w:val="0"/>
      <w:marRight w:val="0"/>
      <w:marTop w:val="0"/>
      <w:marBottom w:val="0"/>
      <w:divBdr>
        <w:top w:val="none" w:sz="0" w:space="0" w:color="auto"/>
        <w:left w:val="none" w:sz="0" w:space="0" w:color="auto"/>
        <w:bottom w:val="none" w:sz="0" w:space="0" w:color="auto"/>
        <w:right w:val="none" w:sz="0" w:space="0" w:color="auto"/>
      </w:divBdr>
    </w:div>
    <w:div w:id="1226602426">
      <w:bodyDiv w:val="1"/>
      <w:marLeft w:val="0"/>
      <w:marRight w:val="0"/>
      <w:marTop w:val="0"/>
      <w:marBottom w:val="0"/>
      <w:divBdr>
        <w:top w:val="none" w:sz="0" w:space="0" w:color="auto"/>
        <w:left w:val="none" w:sz="0" w:space="0" w:color="auto"/>
        <w:bottom w:val="none" w:sz="0" w:space="0" w:color="auto"/>
        <w:right w:val="none" w:sz="0" w:space="0" w:color="auto"/>
      </w:divBdr>
    </w:div>
    <w:div w:id="1239485544">
      <w:bodyDiv w:val="1"/>
      <w:marLeft w:val="0"/>
      <w:marRight w:val="0"/>
      <w:marTop w:val="0"/>
      <w:marBottom w:val="0"/>
      <w:divBdr>
        <w:top w:val="none" w:sz="0" w:space="0" w:color="auto"/>
        <w:left w:val="none" w:sz="0" w:space="0" w:color="auto"/>
        <w:bottom w:val="none" w:sz="0" w:space="0" w:color="auto"/>
        <w:right w:val="none" w:sz="0" w:space="0" w:color="auto"/>
      </w:divBdr>
    </w:div>
    <w:div w:id="1318724294">
      <w:bodyDiv w:val="1"/>
      <w:marLeft w:val="0"/>
      <w:marRight w:val="0"/>
      <w:marTop w:val="0"/>
      <w:marBottom w:val="0"/>
      <w:divBdr>
        <w:top w:val="none" w:sz="0" w:space="0" w:color="auto"/>
        <w:left w:val="none" w:sz="0" w:space="0" w:color="auto"/>
        <w:bottom w:val="none" w:sz="0" w:space="0" w:color="auto"/>
        <w:right w:val="none" w:sz="0" w:space="0" w:color="auto"/>
      </w:divBdr>
    </w:div>
    <w:div w:id="1421759607">
      <w:bodyDiv w:val="1"/>
      <w:marLeft w:val="0"/>
      <w:marRight w:val="0"/>
      <w:marTop w:val="0"/>
      <w:marBottom w:val="0"/>
      <w:divBdr>
        <w:top w:val="none" w:sz="0" w:space="0" w:color="auto"/>
        <w:left w:val="none" w:sz="0" w:space="0" w:color="auto"/>
        <w:bottom w:val="none" w:sz="0" w:space="0" w:color="auto"/>
        <w:right w:val="none" w:sz="0" w:space="0" w:color="auto"/>
      </w:divBdr>
    </w:div>
    <w:div w:id="1484932639">
      <w:bodyDiv w:val="1"/>
      <w:marLeft w:val="0"/>
      <w:marRight w:val="0"/>
      <w:marTop w:val="0"/>
      <w:marBottom w:val="0"/>
      <w:divBdr>
        <w:top w:val="none" w:sz="0" w:space="0" w:color="auto"/>
        <w:left w:val="none" w:sz="0" w:space="0" w:color="auto"/>
        <w:bottom w:val="none" w:sz="0" w:space="0" w:color="auto"/>
        <w:right w:val="none" w:sz="0" w:space="0" w:color="auto"/>
      </w:divBdr>
    </w:div>
    <w:div w:id="1509446087">
      <w:bodyDiv w:val="1"/>
      <w:marLeft w:val="0"/>
      <w:marRight w:val="0"/>
      <w:marTop w:val="0"/>
      <w:marBottom w:val="0"/>
      <w:divBdr>
        <w:top w:val="none" w:sz="0" w:space="0" w:color="auto"/>
        <w:left w:val="none" w:sz="0" w:space="0" w:color="auto"/>
        <w:bottom w:val="none" w:sz="0" w:space="0" w:color="auto"/>
        <w:right w:val="none" w:sz="0" w:space="0" w:color="auto"/>
      </w:divBdr>
    </w:div>
    <w:div w:id="1538081789">
      <w:bodyDiv w:val="1"/>
      <w:marLeft w:val="0"/>
      <w:marRight w:val="0"/>
      <w:marTop w:val="0"/>
      <w:marBottom w:val="0"/>
      <w:divBdr>
        <w:top w:val="none" w:sz="0" w:space="0" w:color="auto"/>
        <w:left w:val="none" w:sz="0" w:space="0" w:color="auto"/>
        <w:bottom w:val="none" w:sz="0" w:space="0" w:color="auto"/>
        <w:right w:val="none" w:sz="0" w:space="0" w:color="auto"/>
      </w:divBdr>
    </w:div>
    <w:div w:id="1552155011">
      <w:bodyDiv w:val="1"/>
      <w:marLeft w:val="0"/>
      <w:marRight w:val="0"/>
      <w:marTop w:val="0"/>
      <w:marBottom w:val="0"/>
      <w:divBdr>
        <w:top w:val="none" w:sz="0" w:space="0" w:color="auto"/>
        <w:left w:val="none" w:sz="0" w:space="0" w:color="auto"/>
        <w:bottom w:val="none" w:sz="0" w:space="0" w:color="auto"/>
        <w:right w:val="none" w:sz="0" w:space="0" w:color="auto"/>
      </w:divBdr>
    </w:div>
    <w:div w:id="1569074537">
      <w:bodyDiv w:val="1"/>
      <w:marLeft w:val="0"/>
      <w:marRight w:val="0"/>
      <w:marTop w:val="0"/>
      <w:marBottom w:val="0"/>
      <w:divBdr>
        <w:top w:val="none" w:sz="0" w:space="0" w:color="auto"/>
        <w:left w:val="none" w:sz="0" w:space="0" w:color="auto"/>
        <w:bottom w:val="none" w:sz="0" w:space="0" w:color="auto"/>
        <w:right w:val="none" w:sz="0" w:space="0" w:color="auto"/>
      </w:divBdr>
    </w:div>
    <w:div w:id="1701584993">
      <w:bodyDiv w:val="1"/>
      <w:marLeft w:val="0"/>
      <w:marRight w:val="0"/>
      <w:marTop w:val="0"/>
      <w:marBottom w:val="0"/>
      <w:divBdr>
        <w:top w:val="none" w:sz="0" w:space="0" w:color="auto"/>
        <w:left w:val="none" w:sz="0" w:space="0" w:color="auto"/>
        <w:bottom w:val="none" w:sz="0" w:space="0" w:color="auto"/>
        <w:right w:val="none" w:sz="0" w:space="0" w:color="auto"/>
      </w:divBdr>
    </w:div>
    <w:div w:id="1722971962">
      <w:bodyDiv w:val="1"/>
      <w:marLeft w:val="0"/>
      <w:marRight w:val="0"/>
      <w:marTop w:val="0"/>
      <w:marBottom w:val="0"/>
      <w:divBdr>
        <w:top w:val="none" w:sz="0" w:space="0" w:color="auto"/>
        <w:left w:val="none" w:sz="0" w:space="0" w:color="auto"/>
        <w:bottom w:val="none" w:sz="0" w:space="0" w:color="auto"/>
        <w:right w:val="none" w:sz="0" w:space="0" w:color="auto"/>
      </w:divBdr>
    </w:div>
    <w:div w:id="1856186971">
      <w:bodyDiv w:val="1"/>
      <w:marLeft w:val="0"/>
      <w:marRight w:val="0"/>
      <w:marTop w:val="0"/>
      <w:marBottom w:val="0"/>
      <w:divBdr>
        <w:top w:val="none" w:sz="0" w:space="0" w:color="auto"/>
        <w:left w:val="none" w:sz="0" w:space="0" w:color="auto"/>
        <w:bottom w:val="none" w:sz="0" w:space="0" w:color="auto"/>
        <w:right w:val="none" w:sz="0" w:space="0" w:color="auto"/>
      </w:divBdr>
    </w:div>
    <w:div w:id="201591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rs.gov/pub/irs-drop/n-20-23.pdf" TargetMode="External"/><Relationship Id="rId1" Type="http://schemas.openxmlformats.org/officeDocument/2006/relationships/hyperlink" Target="https://www.dol.gov/sites/dolgov/files/EBSA/employers-and-advisers/plan-administration-and-compliance/reporting-and-filing/form-5500/2019-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40A1E-3C27-4F38-9FB0-2564D17A3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Luke Coughlan</cp:lastModifiedBy>
  <cp:revision>3</cp:revision>
  <cp:lastPrinted>2017-05-19T19:12:00Z</cp:lastPrinted>
  <dcterms:created xsi:type="dcterms:W3CDTF">2021-07-22T14:40:00Z</dcterms:created>
  <dcterms:modified xsi:type="dcterms:W3CDTF">2021-07-22T14:40:00Z</dcterms:modified>
</cp:coreProperties>
</file>